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2724A" w14:textId="33970B38" w:rsidR="006208CB" w:rsidRPr="0040307B" w:rsidRDefault="0040307B" w:rsidP="00620CB9">
      <w:pPr>
        <w:pStyle w:val="al"/>
        <w:rPr>
          <w:rFonts w:asciiTheme="minorHAnsi" w:hAnsiTheme="minorHAnsi"/>
          <w:bCs/>
          <w:sz w:val="21"/>
          <w:szCs w:val="21"/>
        </w:rPr>
      </w:pPr>
      <w:r w:rsidRPr="0040307B">
        <w:rPr>
          <w:rFonts w:asciiTheme="minorHAnsi" w:hAnsiTheme="minorHAnsi"/>
          <w:bCs/>
          <w:sz w:val="21"/>
          <w:szCs w:val="21"/>
        </w:rPr>
        <w:t>1</w:t>
      </w:r>
      <w:r w:rsidR="004D5BFB">
        <w:rPr>
          <w:rFonts w:asciiTheme="minorHAnsi" w:hAnsiTheme="minorHAnsi"/>
          <w:bCs/>
          <w:sz w:val="21"/>
          <w:szCs w:val="21"/>
        </w:rPr>
        <w:t>6</w:t>
      </w:r>
      <w:r w:rsidRPr="0040307B">
        <w:rPr>
          <w:rFonts w:asciiTheme="minorHAnsi" w:hAnsiTheme="minorHAnsi"/>
          <w:bCs/>
          <w:sz w:val="21"/>
          <w:szCs w:val="21"/>
          <w:vertAlign w:val="superscript"/>
        </w:rPr>
        <w:t>th</w:t>
      </w:r>
      <w:r w:rsidRPr="0040307B">
        <w:rPr>
          <w:rFonts w:asciiTheme="minorHAnsi" w:hAnsiTheme="minorHAnsi"/>
          <w:bCs/>
          <w:sz w:val="21"/>
          <w:szCs w:val="21"/>
        </w:rPr>
        <w:t xml:space="preserve"> </w:t>
      </w:r>
      <w:r w:rsidR="005468D7" w:rsidRPr="0040307B">
        <w:rPr>
          <w:rFonts w:asciiTheme="minorHAnsi" w:hAnsiTheme="minorHAnsi"/>
          <w:bCs/>
          <w:sz w:val="21"/>
          <w:szCs w:val="21"/>
        </w:rPr>
        <w:t>February 2018</w:t>
      </w:r>
    </w:p>
    <w:p w14:paraId="65D2B77A" w14:textId="77777777" w:rsidR="00A7484C" w:rsidRPr="0040307B" w:rsidRDefault="00CC4BA6" w:rsidP="00CC4BA6">
      <w:pPr>
        <w:pStyle w:val="al"/>
        <w:jc w:val="center"/>
        <w:rPr>
          <w:rFonts w:asciiTheme="minorHAnsi" w:hAnsiTheme="minorHAnsi"/>
          <w:b/>
          <w:bCs/>
          <w:sz w:val="21"/>
          <w:szCs w:val="21"/>
        </w:rPr>
      </w:pPr>
      <w:r w:rsidRPr="0040307B">
        <w:rPr>
          <w:rFonts w:asciiTheme="minorHAnsi" w:hAnsiTheme="minorHAnsi"/>
          <w:b/>
          <w:bCs/>
          <w:sz w:val="21"/>
          <w:szCs w:val="21"/>
        </w:rPr>
        <w:t xml:space="preserve">Angling Direct PLC </w:t>
      </w:r>
    </w:p>
    <w:p w14:paraId="6BEF464F" w14:textId="7A690110" w:rsidR="00CC4BA6" w:rsidRPr="0040307B" w:rsidRDefault="00CC4BA6" w:rsidP="00CC4BA6">
      <w:pPr>
        <w:pStyle w:val="al"/>
        <w:jc w:val="center"/>
        <w:rPr>
          <w:rFonts w:asciiTheme="minorHAnsi" w:hAnsiTheme="minorHAnsi"/>
          <w:bCs/>
          <w:sz w:val="21"/>
          <w:szCs w:val="21"/>
        </w:rPr>
      </w:pPr>
      <w:r w:rsidRPr="0040307B">
        <w:rPr>
          <w:rFonts w:asciiTheme="minorHAnsi" w:hAnsiTheme="minorHAnsi"/>
          <w:bCs/>
          <w:sz w:val="21"/>
          <w:szCs w:val="21"/>
        </w:rPr>
        <w:t>(</w:t>
      </w:r>
      <w:r w:rsidR="00107D5F" w:rsidRPr="0040307B">
        <w:rPr>
          <w:rFonts w:asciiTheme="minorHAnsi" w:hAnsiTheme="minorHAnsi"/>
          <w:bCs/>
          <w:sz w:val="21"/>
          <w:szCs w:val="21"/>
        </w:rPr>
        <w:t xml:space="preserve">“Angling Direct” or </w:t>
      </w:r>
      <w:r w:rsidRPr="0040307B">
        <w:rPr>
          <w:rFonts w:asciiTheme="minorHAnsi" w:hAnsiTheme="minorHAnsi"/>
          <w:bCs/>
          <w:sz w:val="21"/>
          <w:szCs w:val="21"/>
        </w:rPr>
        <w:t>“</w:t>
      </w:r>
      <w:r w:rsidR="00107D5F" w:rsidRPr="0040307B">
        <w:rPr>
          <w:rFonts w:asciiTheme="minorHAnsi" w:hAnsiTheme="minorHAnsi"/>
          <w:bCs/>
          <w:sz w:val="21"/>
          <w:szCs w:val="21"/>
        </w:rPr>
        <w:t xml:space="preserve">the </w:t>
      </w:r>
      <w:r w:rsidRPr="0040307B">
        <w:rPr>
          <w:rFonts w:asciiTheme="minorHAnsi" w:hAnsiTheme="minorHAnsi"/>
          <w:bCs/>
          <w:sz w:val="21"/>
          <w:szCs w:val="21"/>
        </w:rPr>
        <w:t>Company”</w:t>
      </w:r>
      <w:r w:rsidR="00107D5F" w:rsidRPr="0040307B">
        <w:rPr>
          <w:rFonts w:asciiTheme="minorHAnsi" w:hAnsiTheme="minorHAnsi"/>
          <w:bCs/>
          <w:sz w:val="21"/>
          <w:szCs w:val="21"/>
        </w:rPr>
        <w:t>)</w:t>
      </w:r>
    </w:p>
    <w:p w14:paraId="1E2772DA" w14:textId="295AB561" w:rsidR="006208CB" w:rsidRPr="0040307B" w:rsidRDefault="00CC4BA6" w:rsidP="00CC4BA6">
      <w:pPr>
        <w:pStyle w:val="al"/>
        <w:jc w:val="center"/>
        <w:rPr>
          <w:rFonts w:asciiTheme="minorHAnsi" w:hAnsiTheme="minorHAnsi"/>
          <w:b/>
          <w:bCs/>
          <w:sz w:val="21"/>
          <w:szCs w:val="21"/>
        </w:rPr>
      </w:pPr>
      <w:r w:rsidRPr="0040307B">
        <w:rPr>
          <w:rFonts w:asciiTheme="minorHAnsi" w:hAnsiTheme="minorHAnsi"/>
          <w:b/>
          <w:bCs/>
          <w:sz w:val="21"/>
          <w:szCs w:val="21"/>
        </w:rPr>
        <w:t>Pre-Close Trading Update</w:t>
      </w:r>
    </w:p>
    <w:p w14:paraId="444A6A81" w14:textId="0799F7D4" w:rsidR="00620CB9" w:rsidRPr="0040307B" w:rsidRDefault="00620CB9" w:rsidP="00CC4BA6">
      <w:pPr>
        <w:pStyle w:val="al"/>
        <w:jc w:val="both"/>
        <w:rPr>
          <w:rFonts w:asciiTheme="minorHAnsi" w:hAnsiTheme="minorHAnsi"/>
          <w:sz w:val="21"/>
          <w:szCs w:val="21"/>
        </w:rPr>
      </w:pPr>
      <w:r w:rsidRPr="0040307B">
        <w:rPr>
          <w:rFonts w:asciiTheme="minorHAnsi" w:hAnsiTheme="minorHAnsi"/>
          <w:b/>
          <w:bCs/>
          <w:sz w:val="21"/>
          <w:szCs w:val="21"/>
        </w:rPr>
        <w:t>Angling Direct PLC</w:t>
      </w:r>
      <w:r w:rsidRPr="0040307B">
        <w:rPr>
          <w:rFonts w:asciiTheme="minorHAnsi" w:hAnsiTheme="minorHAnsi"/>
          <w:sz w:val="21"/>
          <w:szCs w:val="21"/>
        </w:rPr>
        <w:t xml:space="preserve"> (AIM: ANG.L), the UK’s leading fishing tackle retailer, is pleased to announce the following pre-close trading update ahead of the publication of its financial results for the 12 months ended 31 </w:t>
      </w:r>
      <w:r w:rsidR="006D3D91" w:rsidRPr="0040307B">
        <w:rPr>
          <w:rFonts w:asciiTheme="minorHAnsi" w:hAnsiTheme="minorHAnsi"/>
          <w:sz w:val="21"/>
          <w:szCs w:val="21"/>
        </w:rPr>
        <w:t>Jan</w:t>
      </w:r>
      <w:r w:rsidR="00237F89">
        <w:rPr>
          <w:rFonts w:asciiTheme="minorHAnsi" w:hAnsiTheme="minorHAnsi"/>
          <w:sz w:val="21"/>
          <w:szCs w:val="21"/>
        </w:rPr>
        <w:t>uary</w:t>
      </w:r>
      <w:r w:rsidRPr="0040307B">
        <w:rPr>
          <w:rFonts w:asciiTheme="minorHAnsi" w:hAnsiTheme="minorHAnsi"/>
          <w:sz w:val="21"/>
          <w:szCs w:val="21"/>
        </w:rPr>
        <w:t xml:space="preserve"> 201</w:t>
      </w:r>
      <w:r w:rsidR="006D3D91" w:rsidRPr="0040307B">
        <w:rPr>
          <w:rFonts w:asciiTheme="minorHAnsi" w:hAnsiTheme="minorHAnsi"/>
          <w:sz w:val="21"/>
          <w:szCs w:val="21"/>
        </w:rPr>
        <w:t>8</w:t>
      </w:r>
      <w:r w:rsidRPr="0040307B">
        <w:rPr>
          <w:rFonts w:asciiTheme="minorHAnsi" w:hAnsiTheme="minorHAnsi"/>
          <w:sz w:val="21"/>
          <w:szCs w:val="21"/>
        </w:rPr>
        <w:t>.</w:t>
      </w:r>
    </w:p>
    <w:p w14:paraId="75E4B38C" w14:textId="6802D8CF" w:rsidR="00620CB9" w:rsidRPr="0040307B" w:rsidRDefault="00CC4BA6" w:rsidP="00CC4BA6">
      <w:pPr>
        <w:pStyle w:val="al"/>
        <w:jc w:val="both"/>
        <w:rPr>
          <w:rFonts w:asciiTheme="minorHAnsi" w:hAnsiTheme="minorHAnsi"/>
          <w:sz w:val="21"/>
          <w:szCs w:val="21"/>
        </w:rPr>
      </w:pPr>
      <w:r w:rsidRPr="0040307B">
        <w:rPr>
          <w:rFonts w:asciiTheme="minorHAnsi" w:hAnsiTheme="minorHAnsi"/>
          <w:sz w:val="21"/>
          <w:szCs w:val="21"/>
        </w:rPr>
        <w:t xml:space="preserve">Revenue for the financial period was ahead of expectations, </w:t>
      </w:r>
      <w:r w:rsidR="00620CB9" w:rsidRPr="0040307B">
        <w:rPr>
          <w:rFonts w:asciiTheme="minorHAnsi" w:hAnsiTheme="minorHAnsi"/>
          <w:sz w:val="21"/>
          <w:szCs w:val="21"/>
        </w:rPr>
        <w:t>increas</w:t>
      </w:r>
      <w:r w:rsidRPr="0040307B">
        <w:rPr>
          <w:rFonts w:asciiTheme="minorHAnsi" w:hAnsiTheme="minorHAnsi"/>
          <w:sz w:val="21"/>
          <w:szCs w:val="21"/>
        </w:rPr>
        <w:t xml:space="preserve">ing by </w:t>
      </w:r>
      <w:r w:rsidR="0040307B" w:rsidRPr="0040307B">
        <w:rPr>
          <w:rFonts w:asciiTheme="minorHAnsi" w:hAnsiTheme="minorHAnsi"/>
          <w:sz w:val="21"/>
          <w:szCs w:val="21"/>
        </w:rPr>
        <w:t>c</w:t>
      </w:r>
      <w:r w:rsidR="00632C26">
        <w:rPr>
          <w:rFonts w:asciiTheme="minorHAnsi" w:hAnsiTheme="minorHAnsi"/>
          <w:sz w:val="21"/>
          <w:szCs w:val="21"/>
        </w:rPr>
        <w:t>.</w:t>
      </w:r>
      <w:r w:rsidR="0040307B" w:rsidRPr="0040307B">
        <w:rPr>
          <w:rFonts w:asciiTheme="minorHAnsi" w:hAnsiTheme="minorHAnsi"/>
          <w:sz w:val="21"/>
          <w:szCs w:val="21"/>
        </w:rPr>
        <w:t>44</w:t>
      </w:r>
      <w:r w:rsidR="00620CB9" w:rsidRPr="0040307B">
        <w:rPr>
          <w:rFonts w:asciiTheme="minorHAnsi" w:hAnsiTheme="minorHAnsi"/>
          <w:sz w:val="21"/>
          <w:szCs w:val="21"/>
        </w:rPr>
        <w:t xml:space="preserve"> </w:t>
      </w:r>
      <w:r w:rsidRPr="0040307B">
        <w:rPr>
          <w:rFonts w:asciiTheme="minorHAnsi" w:hAnsiTheme="minorHAnsi"/>
          <w:sz w:val="21"/>
          <w:szCs w:val="21"/>
        </w:rPr>
        <w:t xml:space="preserve">per cent </w:t>
      </w:r>
      <w:r w:rsidR="00620CB9" w:rsidRPr="0040307B">
        <w:rPr>
          <w:rFonts w:asciiTheme="minorHAnsi" w:hAnsiTheme="minorHAnsi"/>
          <w:sz w:val="21"/>
          <w:szCs w:val="21"/>
        </w:rPr>
        <w:t>to £</w:t>
      </w:r>
      <w:r w:rsidR="0040307B" w:rsidRPr="0040307B">
        <w:rPr>
          <w:rFonts w:asciiTheme="minorHAnsi" w:hAnsiTheme="minorHAnsi"/>
          <w:sz w:val="21"/>
          <w:szCs w:val="21"/>
        </w:rPr>
        <w:t>30.2</w:t>
      </w:r>
      <w:r w:rsidR="00620CB9" w:rsidRPr="0040307B">
        <w:rPr>
          <w:rFonts w:asciiTheme="minorHAnsi" w:hAnsiTheme="minorHAnsi"/>
          <w:sz w:val="21"/>
          <w:szCs w:val="21"/>
        </w:rPr>
        <w:t xml:space="preserve"> million in the 12 months to 31 </w:t>
      </w:r>
      <w:r w:rsidR="006D3D91" w:rsidRPr="0040307B">
        <w:rPr>
          <w:rFonts w:asciiTheme="minorHAnsi" w:hAnsiTheme="minorHAnsi"/>
          <w:sz w:val="21"/>
          <w:szCs w:val="21"/>
        </w:rPr>
        <w:t>Jan</w:t>
      </w:r>
      <w:r w:rsidR="00632C26">
        <w:rPr>
          <w:rFonts w:asciiTheme="minorHAnsi" w:hAnsiTheme="minorHAnsi"/>
          <w:sz w:val="21"/>
          <w:szCs w:val="21"/>
        </w:rPr>
        <w:t>uary</w:t>
      </w:r>
      <w:r w:rsidR="00620CB9" w:rsidRPr="0040307B">
        <w:rPr>
          <w:rFonts w:asciiTheme="minorHAnsi" w:hAnsiTheme="minorHAnsi"/>
          <w:sz w:val="21"/>
          <w:szCs w:val="21"/>
        </w:rPr>
        <w:t xml:space="preserve"> 201</w:t>
      </w:r>
      <w:r w:rsidR="006D3D91" w:rsidRPr="0040307B">
        <w:rPr>
          <w:rFonts w:asciiTheme="minorHAnsi" w:hAnsiTheme="minorHAnsi"/>
          <w:sz w:val="21"/>
          <w:szCs w:val="21"/>
        </w:rPr>
        <w:t>8</w:t>
      </w:r>
      <w:r w:rsidR="00620CB9" w:rsidRPr="0040307B">
        <w:rPr>
          <w:rFonts w:asciiTheme="minorHAnsi" w:hAnsiTheme="minorHAnsi"/>
          <w:sz w:val="21"/>
          <w:szCs w:val="21"/>
        </w:rPr>
        <w:t xml:space="preserve"> compared with the same period the previous year (201</w:t>
      </w:r>
      <w:r w:rsidR="006D3D91" w:rsidRPr="0040307B">
        <w:rPr>
          <w:rFonts w:asciiTheme="minorHAnsi" w:hAnsiTheme="minorHAnsi"/>
          <w:sz w:val="21"/>
          <w:szCs w:val="21"/>
        </w:rPr>
        <w:t>7</w:t>
      </w:r>
      <w:r w:rsidR="00620CB9" w:rsidRPr="0040307B">
        <w:rPr>
          <w:rFonts w:asciiTheme="minorHAnsi" w:hAnsiTheme="minorHAnsi"/>
          <w:sz w:val="21"/>
          <w:szCs w:val="21"/>
        </w:rPr>
        <w:t>: £</w:t>
      </w:r>
      <w:r w:rsidR="00C12E8E" w:rsidRPr="0040307B">
        <w:rPr>
          <w:rFonts w:asciiTheme="minorHAnsi" w:hAnsiTheme="minorHAnsi"/>
          <w:sz w:val="21"/>
          <w:szCs w:val="21"/>
        </w:rPr>
        <w:t>21.0</w:t>
      </w:r>
      <w:r w:rsidR="00620CB9" w:rsidRPr="0040307B">
        <w:rPr>
          <w:rFonts w:asciiTheme="minorHAnsi" w:hAnsiTheme="minorHAnsi"/>
          <w:sz w:val="21"/>
          <w:szCs w:val="21"/>
        </w:rPr>
        <w:t xml:space="preserve"> million).</w:t>
      </w:r>
    </w:p>
    <w:p w14:paraId="7597E60B" w14:textId="6D8FB915" w:rsidR="00DA57CC" w:rsidRPr="0040307B" w:rsidRDefault="00CC4BA6" w:rsidP="00CC4BA6">
      <w:pPr>
        <w:pStyle w:val="al"/>
        <w:jc w:val="both"/>
        <w:rPr>
          <w:rFonts w:asciiTheme="minorHAnsi" w:hAnsiTheme="minorHAnsi"/>
          <w:sz w:val="21"/>
          <w:szCs w:val="21"/>
        </w:rPr>
      </w:pPr>
      <w:r w:rsidRPr="0040307B">
        <w:rPr>
          <w:rFonts w:asciiTheme="minorHAnsi" w:hAnsiTheme="minorHAnsi"/>
          <w:sz w:val="21"/>
          <w:szCs w:val="21"/>
        </w:rPr>
        <w:t>Significant revenue growth was achieved across the Company’s retail and e-commerce divisions. Continued i</w:t>
      </w:r>
      <w:r w:rsidR="00620CB9" w:rsidRPr="0040307B">
        <w:rPr>
          <w:rFonts w:asciiTheme="minorHAnsi" w:hAnsiTheme="minorHAnsi"/>
          <w:sz w:val="21"/>
          <w:szCs w:val="21"/>
        </w:rPr>
        <w:t xml:space="preserve">nvestment in the Company's </w:t>
      </w:r>
      <w:r w:rsidRPr="0040307B">
        <w:rPr>
          <w:rFonts w:asciiTheme="minorHAnsi" w:hAnsiTheme="minorHAnsi"/>
          <w:sz w:val="21"/>
          <w:szCs w:val="21"/>
        </w:rPr>
        <w:t>e</w:t>
      </w:r>
      <w:r w:rsidR="006D3D91" w:rsidRPr="0040307B">
        <w:rPr>
          <w:rFonts w:asciiTheme="minorHAnsi" w:hAnsiTheme="minorHAnsi"/>
          <w:sz w:val="21"/>
          <w:szCs w:val="21"/>
        </w:rPr>
        <w:t>-commerce</w:t>
      </w:r>
      <w:r w:rsidR="00620CB9" w:rsidRPr="0040307B">
        <w:rPr>
          <w:rFonts w:asciiTheme="minorHAnsi" w:hAnsiTheme="minorHAnsi"/>
          <w:sz w:val="21"/>
          <w:szCs w:val="21"/>
        </w:rPr>
        <w:t xml:space="preserve"> platform and operations resulted in a</w:t>
      </w:r>
      <w:r w:rsidR="006D3D91" w:rsidRPr="0040307B">
        <w:rPr>
          <w:rFonts w:asciiTheme="minorHAnsi" w:hAnsiTheme="minorHAnsi"/>
          <w:sz w:val="21"/>
          <w:szCs w:val="21"/>
        </w:rPr>
        <w:t xml:space="preserve"> </w:t>
      </w:r>
      <w:r w:rsidR="0040307B" w:rsidRPr="0040307B">
        <w:rPr>
          <w:rFonts w:asciiTheme="minorHAnsi" w:hAnsiTheme="minorHAnsi"/>
          <w:sz w:val="21"/>
          <w:szCs w:val="21"/>
        </w:rPr>
        <w:t>c</w:t>
      </w:r>
      <w:r w:rsidR="006D6C63">
        <w:rPr>
          <w:rFonts w:asciiTheme="minorHAnsi" w:hAnsiTheme="minorHAnsi"/>
          <w:sz w:val="21"/>
          <w:szCs w:val="21"/>
        </w:rPr>
        <w:t>.</w:t>
      </w:r>
      <w:bookmarkStart w:id="0" w:name="_GoBack"/>
      <w:bookmarkEnd w:id="0"/>
      <w:r w:rsidR="0040307B" w:rsidRPr="0040307B">
        <w:rPr>
          <w:rFonts w:asciiTheme="minorHAnsi" w:hAnsiTheme="minorHAnsi"/>
          <w:sz w:val="21"/>
          <w:szCs w:val="21"/>
        </w:rPr>
        <w:t>54</w:t>
      </w:r>
      <w:r w:rsidR="00E13729" w:rsidRPr="0040307B">
        <w:rPr>
          <w:rFonts w:asciiTheme="minorHAnsi" w:hAnsiTheme="minorHAnsi"/>
          <w:sz w:val="21"/>
          <w:szCs w:val="21"/>
        </w:rPr>
        <w:t xml:space="preserve"> per cent </w:t>
      </w:r>
      <w:r w:rsidR="006D3D91" w:rsidRPr="0040307B">
        <w:rPr>
          <w:rFonts w:asciiTheme="minorHAnsi" w:hAnsiTheme="minorHAnsi"/>
          <w:sz w:val="21"/>
          <w:szCs w:val="21"/>
        </w:rPr>
        <w:t>increase</w:t>
      </w:r>
      <w:r w:rsidR="00620CB9" w:rsidRPr="0040307B">
        <w:rPr>
          <w:rFonts w:asciiTheme="minorHAnsi" w:hAnsiTheme="minorHAnsi"/>
          <w:sz w:val="21"/>
          <w:szCs w:val="21"/>
        </w:rPr>
        <w:t xml:space="preserve"> of direct sales</w:t>
      </w:r>
      <w:r w:rsidR="006D3D91" w:rsidRPr="0040307B">
        <w:rPr>
          <w:rFonts w:asciiTheme="minorHAnsi" w:hAnsiTheme="minorHAnsi"/>
          <w:sz w:val="21"/>
          <w:szCs w:val="21"/>
        </w:rPr>
        <w:t xml:space="preserve"> </w:t>
      </w:r>
      <w:r w:rsidR="00620CB9" w:rsidRPr="0040307B">
        <w:rPr>
          <w:rFonts w:asciiTheme="minorHAnsi" w:hAnsiTheme="minorHAnsi"/>
          <w:sz w:val="21"/>
          <w:szCs w:val="21"/>
        </w:rPr>
        <w:t>year on year</w:t>
      </w:r>
      <w:r w:rsidR="006D3D91" w:rsidRPr="0040307B">
        <w:rPr>
          <w:rFonts w:asciiTheme="minorHAnsi" w:hAnsiTheme="minorHAnsi"/>
          <w:sz w:val="21"/>
          <w:szCs w:val="21"/>
        </w:rPr>
        <w:t>, backed</w:t>
      </w:r>
      <w:r w:rsidR="003D1D4E" w:rsidRPr="0040307B">
        <w:rPr>
          <w:rFonts w:asciiTheme="minorHAnsi" w:hAnsiTheme="minorHAnsi"/>
          <w:sz w:val="21"/>
          <w:szCs w:val="21"/>
        </w:rPr>
        <w:t xml:space="preserve"> by several recent </w:t>
      </w:r>
      <w:r w:rsidR="006D3D91" w:rsidRPr="0040307B">
        <w:rPr>
          <w:rFonts w:asciiTheme="minorHAnsi" w:hAnsiTheme="minorHAnsi"/>
          <w:sz w:val="21"/>
          <w:szCs w:val="21"/>
        </w:rPr>
        <w:t>months of over 1</w:t>
      </w:r>
      <w:r w:rsidR="00C12E8E" w:rsidRPr="0040307B">
        <w:rPr>
          <w:rFonts w:asciiTheme="minorHAnsi" w:hAnsiTheme="minorHAnsi"/>
          <w:sz w:val="21"/>
          <w:szCs w:val="21"/>
        </w:rPr>
        <w:t>.0</w:t>
      </w:r>
      <w:r w:rsidR="006D3D91" w:rsidRPr="0040307B">
        <w:rPr>
          <w:rFonts w:asciiTheme="minorHAnsi" w:hAnsiTheme="minorHAnsi"/>
          <w:sz w:val="21"/>
          <w:szCs w:val="21"/>
        </w:rPr>
        <w:t xml:space="preserve">m </w:t>
      </w:r>
      <w:r w:rsidRPr="0040307B">
        <w:rPr>
          <w:rFonts w:asciiTheme="minorHAnsi" w:hAnsiTheme="minorHAnsi"/>
          <w:sz w:val="21"/>
          <w:szCs w:val="21"/>
        </w:rPr>
        <w:t xml:space="preserve">visits </w:t>
      </w:r>
      <w:r w:rsidR="00E13729" w:rsidRPr="0040307B">
        <w:rPr>
          <w:rFonts w:asciiTheme="minorHAnsi" w:hAnsiTheme="minorHAnsi"/>
          <w:sz w:val="21"/>
          <w:szCs w:val="21"/>
        </w:rPr>
        <w:t xml:space="preserve">to </w:t>
      </w:r>
      <w:r w:rsidR="006D3D91" w:rsidRPr="0040307B">
        <w:rPr>
          <w:rFonts w:asciiTheme="minorHAnsi" w:hAnsiTheme="minorHAnsi"/>
          <w:sz w:val="21"/>
          <w:szCs w:val="21"/>
        </w:rPr>
        <w:t xml:space="preserve">the </w:t>
      </w:r>
      <w:r w:rsidRPr="0040307B">
        <w:rPr>
          <w:rFonts w:asciiTheme="minorHAnsi" w:hAnsiTheme="minorHAnsi"/>
          <w:sz w:val="21"/>
          <w:szCs w:val="21"/>
        </w:rPr>
        <w:t>C</w:t>
      </w:r>
      <w:r w:rsidR="006D3D91" w:rsidRPr="0040307B">
        <w:rPr>
          <w:rFonts w:asciiTheme="minorHAnsi" w:hAnsiTheme="minorHAnsi"/>
          <w:sz w:val="21"/>
          <w:szCs w:val="21"/>
        </w:rPr>
        <w:t xml:space="preserve">ompany’s </w:t>
      </w:r>
      <w:r w:rsidRPr="0040307B">
        <w:rPr>
          <w:rFonts w:asciiTheme="minorHAnsi" w:hAnsiTheme="minorHAnsi"/>
          <w:sz w:val="21"/>
          <w:szCs w:val="21"/>
        </w:rPr>
        <w:t xml:space="preserve">own </w:t>
      </w:r>
      <w:r w:rsidR="006D3D91" w:rsidRPr="0040307B">
        <w:rPr>
          <w:rFonts w:asciiTheme="minorHAnsi" w:hAnsiTheme="minorHAnsi"/>
          <w:sz w:val="21"/>
          <w:szCs w:val="21"/>
        </w:rPr>
        <w:t xml:space="preserve">website </w:t>
      </w:r>
      <w:hyperlink r:id="rId6" w:history="1">
        <w:r w:rsidR="00DA57CC" w:rsidRPr="0040307B">
          <w:rPr>
            <w:rStyle w:val="Hyperlink"/>
            <w:rFonts w:asciiTheme="minorHAnsi" w:hAnsiTheme="minorHAnsi"/>
            <w:color w:val="auto"/>
            <w:sz w:val="21"/>
            <w:szCs w:val="21"/>
          </w:rPr>
          <w:t>www.anglingdirect.co.uk</w:t>
        </w:r>
      </w:hyperlink>
      <w:r w:rsidRPr="0040307B">
        <w:rPr>
          <w:rStyle w:val="Hyperlink"/>
          <w:rFonts w:asciiTheme="minorHAnsi" w:hAnsiTheme="minorHAnsi"/>
          <w:color w:val="auto"/>
          <w:sz w:val="21"/>
          <w:szCs w:val="21"/>
        </w:rPr>
        <w:t xml:space="preserve">. </w:t>
      </w:r>
      <w:r w:rsidR="00DA57CC" w:rsidRPr="0040307B">
        <w:rPr>
          <w:rFonts w:asciiTheme="minorHAnsi" w:hAnsiTheme="minorHAnsi"/>
          <w:sz w:val="21"/>
          <w:szCs w:val="21"/>
        </w:rPr>
        <w:t>Retail sales in-stores were</w:t>
      </w:r>
      <w:r w:rsidR="00EA5DA0" w:rsidRPr="0040307B">
        <w:rPr>
          <w:rFonts w:asciiTheme="minorHAnsi" w:hAnsiTheme="minorHAnsi"/>
          <w:sz w:val="21"/>
          <w:szCs w:val="21"/>
        </w:rPr>
        <w:t xml:space="preserve"> up</w:t>
      </w:r>
      <w:r w:rsidR="0040307B" w:rsidRPr="0040307B">
        <w:rPr>
          <w:rFonts w:asciiTheme="minorHAnsi" w:hAnsiTheme="minorHAnsi"/>
          <w:sz w:val="21"/>
          <w:szCs w:val="21"/>
        </w:rPr>
        <w:t xml:space="preserve"> c</w:t>
      </w:r>
      <w:r w:rsidR="00DA5DD8">
        <w:rPr>
          <w:rFonts w:asciiTheme="minorHAnsi" w:hAnsiTheme="minorHAnsi"/>
          <w:sz w:val="21"/>
          <w:szCs w:val="21"/>
        </w:rPr>
        <w:t>.</w:t>
      </w:r>
      <w:r w:rsidR="0040307B" w:rsidRPr="0040307B">
        <w:rPr>
          <w:rFonts w:asciiTheme="minorHAnsi" w:hAnsiTheme="minorHAnsi"/>
          <w:sz w:val="21"/>
          <w:szCs w:val="21"/>
        </w:rPr>
        <w:t>40</w:t>
      </w:r>
      <w:r w:rsidR="00E13729" w:rsidRPr="0040307B">
        <w:rPr>
          <w:rFonts w:asciiTheme="minorHAnsi" w:hAnsiTheme="minorHAnsi"/>
          <w:sz w:val="21"/>
          <w:szCs w:val="21"/>
        </w:rPr>
        <w:t xml:space="preserve"> per cent</w:t>
      </w:r>
      <w:r w:rsidR="0040307B" w:rsidRPr="0040307B">
        <w:rPr>
          <w:rFonts w:asciiTheme="minorHAnsi" w:hAnsiTheme="minorHAnsi"/>
          <w:sz w:val="21"/>
          <w:szCs w:val="21"/>
        </w:rPr>
        <w:t xml:space="preserve"> </w:t>
      </w:r>
      <w:r w:rsidR="00DA57CC" w:rsidRPr="0040307B">
        <w:rPr>
          <w:rFonts w:asciiTheme="minorHAnsi" w:hAnsiTheme="minorHAnsi"/>
          <w:sz w:val="21"/>
          <w:szCs w:val="21"/>
        </w:rPr>
        <w:t>year on year</w:t>
      </w:r>
      <w:r w:rsidR="0040307B" w:rsidRPr="0040307B">
        <w:rPr>
          <w:rFonts w:asciiTheme="minorHAnsi" w:hAnsiTheme="minorHAnsi"/>
          <w:sz w:val="21"/>
          <w:szCs w:val="21"/>
        </w:rPr>
        <w:t>,</w:t>
      </w:r>
      <w:r w:rsidR="00DA57CC" w:rsidRPr="0040307B">
        <w:rPr>
          <w:rFonts w:asciiTheme="minorHAnsi" w:hAnsiTheme="minorHAnsi"/>
          <w:sz w:val="21"/>
          <w:szCs w:val="21"/>
        </w:rPr>
        <w:t xml:space="preserve"> and like for like sales </w:t>
      </w:r>
      <w:r w:rsidR="004D5BFB" w:rsidRPr="0040307B">
        <w:rPr>
          <w:rFonts w:asciiTheme="minorHAnsi" w:hAnsiTheme="minorHAnsi"/>
          <w:sz w:val="21"/>
          <w:szCs w:val="21"/>
        </w:rPr>
        <w:t xml:space="preserve">in-stores </w:t>
      </w:r>
      <w:r w:rsidR="00DA57CC" w:rsidRPr="0040307B">
        <w:rPr>
          <w:rFonts w:asciiTheme="minorHAnsi" w:hAnsiTheme="minorHAnsi"/>
          <w:sz w:val="21"/>
          <w:szCs w:val="21"/>
        </w:rPr>
        <w:t xml:space="preserve">were up by </w:t>
      </w:r>
      <w:r w:rsidR="0040307B" w:rsidRPr="0040307B">
        <w:rPr>
          <w:rFonts w:asciiTheme="minorHAnsi" w:hAnsiTheme="minorHAnsi"/>
          <w:sz w:val="21"/>
          <w:szCs w:val="21"/>
        </w:rPr>
        <w:t>c</w:t>
      </w:r>
      <w:r w:rsidR="00DA5DD8">
        <w:rPr>
          <w:rFonts w:asciiTheme="minorHAnsi" w:hAnsiTheme="minorHAnsi"/>
          <w:sz w:val="21"/>
          <w:szCs w:val="21"/>
        </w:rPr>
        <w:t>.</w:t>
      </w:r>
      <w:r w:rsidR="0040307B" w:rsidRPr="0040307B">
        <w:rPr>
          <w:rFonts w:asciiTheme="minorHAnsi" w:hAnsiTheme="minorHAnsi"/>
          <w:sz w:val="21"/>
          <w:szCs w:val="21"/>
        </w:rPr>
        <w:t>10</w:t>
      </w:r>
      <w:r w:rsidR="00E13729" w:rsidRPr="0040307B">
        <w:rPr>
          <w:rFonts w:asciiTheme="minorHAnsi" w:hAnsiTheme="minorHAnsi"/>
          <w:sz w:val="21"/>
          <w:szCs w:val="21"/>
        </w:rPr>
        <w:t xml:space="preserve"> per cent. </w:t>
      </w:r>
    </w:p>
    <w:p w14:paraId="39C67B02" w14:textId="0C0BF54A" w:rsidR="00C12E8E" w:rsidRPr="0040307B" w:rsidRDefault="0052088D" w:rsidP="00CC4BA6">
      <w:pPr>
        <w:pStyle w:val="al"/>
        <w:jc w:val="both"/>
        <w:rPr>
          <w:rFonts w:asciiTheme="minorHAnsi" w:hAnsiTheme="minorHAnsi"/>
          <w:sz w:val="21"/>
          <w:szCs w:val="21"/>
        </w:rPr>
      </w:pPr>
      <w:r w:rsidRPr="0040307B">
        <w:rPr>
          <w:rFonts w:asciiTheme="minorHAnsi" w:hAnsiTheme="minorHAnsi"/>
          <w:sz w:val="21"/>
          <w:szCs w:val="21"/>
        </w:rPr>
        <w:t>The</w:t>
      </w:r>
      <w:r w:rsidR="00BF1F42" w:rsidRPr="0040307B">
        <w:rPr>
          <w:rFonts w:asciiTheme="minorHAnsi" w:hAnsiTheme="minorHAnsi"/>
          <w:sz w:val="21"/>
          <w:szCs w:val="21"/>
        </w:rPr>
        <w:t xml:space="preserve"> D</w:t>
      </w:r>
      <w:r w:rsidRPr="0040307B">
        <w:rPr>
          <w:rFonts w:asciiTheme="minorHAnsi" w:hAnsiTheme="minorHAnsi"/>
          <w:sz w:val="21"/>
          <w:szCs w:val="21"/>
        </w:rPr>
        <w:t xml:space="preserve">irectors </w:t>
      </w:r>
      <w:r w:rsidR="00BF1F42" w:rsidRPr="0040307B">
        <w:rPr>
          <w:rFonts w:asciiTheme="minorHAnsi" w:hAnsiTheme="minorHAnsi"/>
          <w:sz w:val="21"/>
          <w:szCs w:val="21"/>
        </w:rPr>
        <w:t xml:space="preserve">acknowledge that the growing </w:t>
      </w:r>
      <w:r w:rsidRPr="0040307B">
        <w:rPr>
          <w:rFonts w:asciiTheme="minorHAnsi" w:hAnsiTheme="minorHAnsi"/>
          <w:sz w:val="21"/>
          <w:szCs w:val="21"/>
        </w:rPr>
        <w:t>uncertainty across the</w:t>
      </w:r>
      <w:r w:rsidR="00F44DE4" w:rsidRPr="0040307B">
        <w:rPr>
          <w:rFonts w:asciiTheme="minorHAnsi" w:hAnsiTheme="minorHAnsi"/>
          <w:sz w:val="21"/>
          <w:szCs w:val="21"/>
        </w:rPr>
        <w:t xml:space="preserve"> wider economic and consumer environment, as well as </w:t>
      </w:r>
      <w:r w:rsidR="00E13729" w:rsidRPr="0040307B">
        <w:rPr>
          <w:rFonts w:asciiTheme="minorHAnsi" w:hAnsiTheme="minorHAnsi"/>
          <w:sz w:val="21"/>
          <w:szCs w:val="21"/>
        </w:rPr>
        <w:t>structural changes in retail buying habits</w:t>
      </w:r>
      <w:r w:rsidR="00BF1F42" w:rsidRPr="0040307B">
        <w:rPr>
          <w:rFonts w:asciiTheme="minorHAnsi" w:hAnsiTheme="minorHAnsi"/>
          <w:sz w:val="21"/>
          <w:szCs w:val="21"/>
        </w:rPr>
        <w:t>, is likely to result in increased price competition.</w:t>
      </w:r>
      <w:r w:rsidR="002F10E8" w:rsidRPr="0040307B">
        <w:rPr>
          <w:rFonts w:asciiTheme="minorHAnsi" w:hAnsiTheme="minorHAnsi"/>
          <w:sz w:val="21"/>
          <w:szCs w:val="21"/>
        </w:rPr>
        <w:t xml:space="preserve"> </w:t>
      </w:r>
      <w:r w:rsidR="00F44DE4" w:rsidRPr="0040307B">
        <w:rPr>
          <w:rFonts w:asciiTheme="minorHAnsi" w:hAnsiTheme="minorHAnsi"/>
          <w:sz w:val="21"/>
          <w:szCs w:val="21"/>
        </w:rPr>
        <w:t>However</w:t>
      </w:r>
      <w:r w:rsidR="00B471AA" w:rsidRPr="0040307B">
        <w:rPr>
          <w:rFonts w:asciiTheme="minorHAnsi" w:hAnsiTheme="minorHAnsi"/>
          <w:sz w:val="21"/>
          <w:szCs w:val="21"/>
        </w:rPr>
        <w:t>,</w:t>
      </w:r>
      <w:r w:rsidR="00F44DE4" w:rsidRPr="0040307B">
        <w:rPr>
          <w:rFonts w:asciiTheme="minorHAnsi" w:hAnsiTheme="minorHAnsi"/>
          <w:sz w:val="21"/>
          <w:szCs w:val="21"/>
        </w:rPr>
        <w:t xml:space="preserve"> as demonstrated during the past year</w:t>
      </w:r>
      <w:r w:rsidR="00B471AA" w:rsidRPr="0040307B">
        <w:rPr>
          <w:rFonts w:asciiTheme="minorHAnsi" w:hAnsiTheme="minorHAnsi"/>
          <w:sz w:val="21"/>
          <w:szCs w:val="21"/>
        </w:rPr>
        <w:t>,</w:t>
      </w:r>
      <w:r w:rsidR="00F44DE4" w:rsidRPr="0040307B">
        <w:rPr>
          <w:rFonts w:asciiTheme="minorHAnsi" w:hAnsiTheme="minorHAnsi"/>
          <w:sz w:val="21"/>
          <w:szCs w:val="21"/>
        </w:rPr>
        <w:t xml:space="preserve"> </w:t>
      </w:r>
      <w:r w:rsidR="00B471AA" w:rsidRPr="0040307B">
        <w:rPr>
          <w:rFonts w:asciiTheme="minorHAnsi" w:hAnsiTheme="minorHAnsi"/>
          <w:sz w:val="21"/>
          <w:szCs w:val="21"/>
        </w:rPr>
        <w:t>the</w:t>
      </w:r>
      <w:r w:rsidR="006B660F" w:rsidRPr="0040307B">
        <w:rPr>
          <w:rFonts w:asciiTheme="minorHAnsi" w:hAnsiTheme="minorHAnsi"/>
          <w:sz w:val="21"/>
          <w:szCs w:val="21"/>
        </w:rPr>
        <w:t xml:space="preserve"> Company </w:t>
      </w:r>
      <w:r w:rsidR="00E95555" w:rsidRPr="0040307B">
        <w:rPr>
          <w:rFonts w:asciiTheme="minorHAnsi" w:hAnsiTheme="minorHAnsi"/>
          <w:sz w:val="21"/>
          <w:szCs w:val="21"/>
        </w:rPr>
        <w:t>has benefitted</w:t>
      </w:r>
      <w:r w:rsidR="00CE47BE" w:rsidRPr="0040307B">
        <w:rPr>
          <w:rFonts w:asciiTheme="minorHAnsi" w:hAnsiTheme="minorHAnsi"/>
          <w:sz w:val="21"/>
          <w:szCs w:val="21"/>
        </w:rPr>
        <w:t xml:space="preserve"> from its</w:t>
      </w:r>
      <w:r w:rsidR="006B660F" w:rsidRPr="0040307B">
        <w:rPr>
          <w:rFonts w:asciiTheme="minorHAnsi" w:hAnsiTheme="minorHAnsi"/>
          <w:sz w:val="21"/>
          <w:szCs w:val="21"/>
        </w:rPr>
        <w:t xml:space="preserve"> </w:t>
      </w:r>
      <w:r w:rsidR="00F44DE4" w:rsidRPr="0040307B">
        <w:rPr>
          <w:rFonts w:asciiTheme="minorHAnsi" w:hAnsiTheme="minorHAnsi"/>
          <w:sz w:val="21"/>
          <w:szCs w:val="21"/>
        </w:rPr>
        <w:t xml:space="preserve">continued investment in e-commerce and marketing, resulting in </w:t>
      </w:r>
      <w:r w:rsidR="002F10E8" w:rsidRPr="0040307B">
        <w:rPr>
          <w:rFonts w:asciiTheme="minorHAnsi" w:hAnsiTheme="minorHAnsi"/>
          <w:sz w:val="21"/>
          <w:szCs w:val="21"/>
        </w:rPr>
        <w:t>greater</w:t>
      </w:r>
      <w:r w:rsidR="00F44DE4" w:rsidRPr="0040307B">
        <w:rPr>
          <w:rFonts w:asciiTheme="minorHAnsi" w:hAnsiTheme="minorHAnsi"/>
          <w:sz w:val="21"/>
          <w:szCs w:val="21"/>
        </w:rPr>
        <w:t xml:space="preserve"> brand awareness, and</w:t>
      </w:r>
      <w:r w:rsidR="00C12E8E" w:rsidRPr="0040307B">
        <w:rPr>
          <w:rFonts w:asciiTheme="minorHAnsi" w:hAnsiTheme="minorHAnsi"/>
          <w:sz w:val="21"/>
          <w:szCs w:val="21"/>
        </w:rPr>
        <w:t xml:space="preserve"> </w:t>
      </w:r>
      <w:r w:rsidR="00CF10D7" w:rsidRPr="0040307B">
        <w:rPr>
          <w:rFonts w:asciiTheme="minorHAnsi" w:hAnsiTheme="minorHAnsi"/>
          <w:sz w:val="21"/>
          <w:szCs w:val="21"/>
        </w:rPr>
        <w:t>as the market leader the Directors believe Angling Direct is</w:t>
      </w:r>
      <w:r w:rsidR="00E329FD" w:rsidRPr="0040307B">
        <w:rPr>
          <w:rFonts w:asciiTheme="minorHAnsi" w:hAnsiTheme="minorHAnsi"/>
          <w:sz w:val="21"/>
          <w:szCs w:val="21"/>
        </w:rPr>
        <w:t xml:space="preserve"> best placed</w:t>
      </w:r>
      <w:r w:rsidR="00F44DE4" w:rsidRPr="0040307B">
        <w:rPr>
          <w:rFonts w:asciiTheme="minorHAnsi" w:hAnsiTheme="minorHAnsi"/>
          <w:sz w:val="21"/>
          <w:szCs w:val="21"/>
        </w:rPr>
        <w:t xml:space="preserve"> to </w:t>
      </w:r>
      <w:r w:rsidR="00BF1F42" w:rsidRPr="0040307B">
        <w:rPr>
          <w:rFonts w:asciiTheme="minorHAnsi" w:hAnsiTheme="minorHAnsi"/>
          <w:sz w:val="21"/>
          <w:szCs w:val="21"/>
        </w:rPr>
        <w:t>succeed in</w:t>
      </w:r>
      <w:r w:rsidR="00F44DE4" w:rsidRPr="0040307B">
        <w:rPr>
          <w:rFonts w:asciiTheme="minorHAnsi" w:hAnsiTheme="minorHAnsi"/>
          <w:sz w:val="21"/>
          <w:szCs w:val="21"/>
        </w:rPr>
        <w:t xml:space="preserve"> this </w:t>
      </w:r>
      <w:r w:rsidR="001B0F4F" w:rsidRPr="0040307B">
        <w:rPr>
          <w:rFonts w:asciiTheme="minorHAnsi" w:hAnsiTheme="minorHAnsi"/>
          <w:sz w:val="21"/>
          <w:szCs w:val="21"/>
        </w:rPr>
        <w:t xml:space="preserve">evolving retail </w:t>
      </w:r>
      <w:r w:rsidR="00F44DE4" w:rsidRPr="0040307B">
        <w:rPr>
          <w:rFonts w:asciiTheme="minorHAnsi" w:hAnsiTheme="minorHAnsi"/>
          <w:sz w:val="21"/>
          <w:szCs w:val="21"/>
        </w:rPr>
        <w:t>environment</w:t>
      </w:r>
      <w:r w:rsidR="00E13729" w:rsidRPr="0040307B">
        <w:rPr>
          <w:rFonts w:asciiTheme="minorHAnsi" w:hAnsiTheme="minorHAnsi"/>
          <w:sz w:val="21"/>
          <w:szCs w:val="21"/>
        </w:rPr>
        <w:t>.</w:t>
      </w:r>
      <w:r w:rsidR="00F44DE4" w:rsidRPr="0040307B">
        <w:rPr>
          <w:rFonts w:asciiTheme="minorHAnsi" w:hAnsiTheme="minorHAnsi"/>
          <w:sz w:val="21"/>
          <w:szCs w:val="21"/>
        </w:rPr>
        <w:t xml:space="preserve"> </w:t>
      </w:r>
      <w:r w:rsidR="00E13729" w:rsidRPr="0040307B">
        <w:rPr>
          <w:rFonts w:asciiTheme="minorHAnsi" w:hAnsiTheme="minorHAnsi"/>
          <w:sz w:val="21"/>
          <w:szCs w:val="21"/>
        </w:rPr>
        <w:t xml:space="preserve">The Directors </w:t>
      </w:r>
      <w:r w:rsidR="008F07A5" w:rsidRPr="0040307B">
        <w:rPr>
          <w:rFonts w:asciiTheme="minorHAnsi" w:hAnsiTheme="minorHAnsi"/>
          <w:sz w:val="21"/>
          <w:szCs w:val="21"/>
        </w:rPr>
        <w:t xml:space="preserve">also </w:t>
      </w:r>
      <w:r w:rsidR="00E13729" w:rsidRPr="0040307B">
        <w:rPr>
          <w:rFonts w:asciiTheme="minorHAnsi" w:hAnsiTheme="minorHAnsi"/>
          <w:sz w:val="21"/>
          <w:szCs w:val="21"/>
        </w:rPr>
        <w:t>expect the Company to continue to increase its</w:t>
      </w:r>
      <w:r w:rsidR="00F44DE4" w:rsidRPr="0040307B">
        <w:rPr>
          <w:rFonts w:asciiTheme="minorHAnsi" w:hAnsiTheme="minorHAnsi"/>
          <w:sz w:val="21"/>
          <w:szCs w:val="21"/>
        </w:rPr>
        <w:t xml:space="preserve"> share</w:t>
      </w:r>
      <w:r w:rsidR="0078021D" w:rsidRPr="0040307B">
        <w:rPr>
          <w:rFonts w:asciiTheme="minorHAnsi" w:hAnsiTheme="minorHAnsi"/>
          <w:sz w:val="21"/>
          <w:szCs w:val="21"/>
        </w:rPr>
        <w:t xml:space="preserve"> of the </w:t>
      </w:r>
      <w:r w:rsidR="004D5BFB">
        <w:rPr>
          <w:rFonts w:asciiTheme="minorHAnsi" w:hAnsiTheme="minorHAnsi"/>
          <w:sz w:val="21"/>
          <w:szCs w:val="21"/>
        </w:rPr>
        <w:t xml:space="preserve">UK </w:t>
      </w:r>
      <w:r w:rsidR="0078021D" w:rsidRPr="0040307B">
        <w:rPr>
          <w:rFonts w:asciiTheme="minorHAnsi" w:hAnsiTheme="minorHAnsi"/>
          <w:sz w:val="21"/>
          <w:szCs w:val="21"/>
        </w:rPr>
        <w:t>angling retail market through</w:t>
      </w:r>
      <w:r w:rsidR="00F44DE4" w:rsidRPr="0040307B">
        <w:rPr>
          <w:rFonts w:asciiTheme="minorHAnsi" w:hAnsiTheme="minorHAnsi"/>
          <w:sz w:val="21"/>
          <w:szCs w:val="21"/>
        </w:rPr>
        <w:t xml:space="preserve"> both</w:t>
      </w:r>
      <w:r w:rsidR="00E13729" w:rsidRPr="0040307B">
        <w:rPr>
          <w:rFonts w:asciiTheme="minorHAnsi" w:hAnsiTheme="minorHAnsi"/>
          <w:sz w:val="21"/>
          <w:szCs w:val="21"/>
        </w:rPr>
        <w:t xml:space="preserve"> </w:t>
      </w:r>
      <w:r w:rsidR="00F44DE4" w:rsidRPr="0040307B">
        <w:rPr>
          <w:rFonts w:asciiTheme="minorHAnsi" w:hAnsiTheme="minorHAnsi"/>
          <w:sz w:val="21"/>
          <w:szCs w:val="21"/>
        </w:rPr>
        <w:t>organic and acquired</w:t>
      </w:r>
      <w:r w:rsidR="00E13729" w:rsidRPr="0040307B">
        <w:rPr>
          <w:rFonts w:asciiTheme="minorHAnsi" w:hAnsiTheme="minorHAnsi"/>
          <w:sz w:val="21"/>
          <w:szCs w:val="21"/>
        </w:rPr>
        <w:t xml:space="preserve"> growth</w:t>
      </w:r>
      <w:r w:rsidR="00F44DE4" w:rsidRPr="0040307B">
        <w:rPr>
          <w:rFonts w:asciiTheme="minorHAnsi" w:hAnsiTheme="minorHAnsi"/>
          <w:sz w:val="21"/>
          <w:szCs w:val="21"/>
        </w:rPr>
        <w:t xml:space="preserve">. </w:t>
      </w:r>
    </w:p>
    <w:p w14:paraId="5F6136D2" w14:textId="44962AE6" w:rsidR="00620CB9" w:rsidRPr="0040307B" w:rsidRDefault="00F44DE4" w:rsidP="00CC4BA6">
      <w:pPr>
        <w:pStyle w:val="al"/>
        <w:jc w:val="both"/>
        <w:rPr>
          <w:rFonts w:asciiTheme="minorHAnsi" w:hAnsiTheme="minorHAnsi"/>
          <w:sz w:val="21"/>
          <w:szCs w:val="21"/>
        </w:rPr>
      </w:pPr>
      <w:r w:rsidRPr="0040307B">
        <w:rPr>
          <w:rFonts w:asciiTheme="minorHAnsi" w:hAnsiTheme="minorHAnsi"/>
          <w:sz w:val="21"/>
          <w:szCs w:val="21"/>
        </w:rPr>
        <w:t>The</w:t>
      </w:r>
      <w:r w:rsidR="00BA26AF" w:rsidRPr="0040307B">
        <w:rPr>
          <w:rFonts w:asciiTheme="minorHAnsi" w:hAnsiTheme="minorHAnsi"/>
          <w:sz w:val="21"/>
          <w:szCs w:val="21"/>
        </w:rPr>
        <w:t xml:space="preserve"> Company has previously indicated </w:t>
      </w:r>
      <w:r w:rsidR="00F83A25" w:rsidRPr="0040307B">
        <w:rPr>
          <w:rFonts w:asciiTheme="minorHAnsi" w:hAnsiTheme="minorHAnsi"/>
          <w:sz w:val="21"/>
          <w:szCs w:val="21"/>
        </w:rPr>
        <w:t xml:space="preserve">its intention to explore growth opportunities in </w:t>
      </w:r>
      <w:r w:rsidR="009E7994" w:rsidRPr="0040307B">
        <w:rPr>
          <w:rFonts w:asciiTheme="minorHAnsi" w:hAnsiTheme="minorHAnsi"/>
          <w:sz w:val="21"/>
          <w:szCs w:val="21"/>
        </w:rPr>
        <w:t xml:space="preserve">overseas </w:t>
      </w:r>
      <w:r w:rsidR="00BA26AF" w:rsidRPr="0040307B">
        <w:rPr>
          <w:rFonts w:asciiTheme="minorHAnsi" w:hAnsiTheme="minorHAnsi"/>
          <w:sz w:val="21"/>
          <w:szCs w:val="21"/>
        </w:rPr>
        <w:t>European markets</w:t>
      </w:r>
      <w:r w:rsidR="00285536" w:rsidRPr="0040307B">
        <w:rPr>
          <w:rFonts w:asciiTheme="minorHAnsi" w:hAnsiTheme="minorHAnsi"/>
          <w:sz w:val="21"/>
          <w:szCs w:val="21"/>
        </w:rPr>
        <w:t xml:space="preserve">, and particularly those that have </w:t>
      </w:r>
      <w:r w:rsidR="00F83A25" w:rsidRPr="0040307B">
        <w:rPr>
          <w:rFonts w:asciiTheme="minorHAnsi" w:hAnsiTheme="minorHAnsi"/>
          <w:sz w:val="21"/>
          <w:szCs w:val="21"/>
        </w:rPr>
        <w:t xml:space="preserve">similar angling </w:t>
      </w:r>
      <w:r w:rsidR="009E7994" w:rsidRPr="0040307B">
        <w:rPr>
          <w:rFonts w:asciiTheme="minorHAnsi" w:hAnsiTheme="minorHAnsi"/>
          <w:sz w:val="21"/>
          <w:szCs w:val="21"/>
        </w:rPr>
        <w:t xml:space="preserve">techniques </w:t>
      </w:r>
      <w:r w:rsidR="009508AA" w:rsidRPr="0040307B">
        <w:rPr>
          <w:rFonts w:asciiTheme="minorHAnsi" w:hAnsiTheme="minorHAnsi"/>
          <w:sz w:val="21"/>
          <w:szCs w:val="21"/>
        </w:rPr>
        <w:t xml:space="preserve">and fish species </w:t>
      </w:r>
      <w:r w:rsidR="00F83A25" w:rsidRPr="0040307B">
        <w:rPr>
          <w:rFonts w:asciiTheme="minorHAnsi" w:hAnsiTheme="minorHAnsi"/>
          <w:sz w:val="21"/>
          <w:szCs w:val="21"/>
        </w:rPr>
        <w:t xml:space="preserve">to that of the UK. Angling Direct is </w:t>
      </w:r>
      <w:r w:rsidR="009508AA" w:rsidRPr="0040307B">
        <w:rPr>
          <w:rFonts w:asciiTheme="minorHAnsi" w:hAnsiTheme="minorHAnsi"/>
          <w:sz w:val="21"/>
          <w:szCs w:val="21"/>
        </w:rPr>
        <w:t xml:space="preserve">already </w:t>
      </w:r>
      <w:r w:rsidR="00F83A25" w:rsidRPr="0040307B">
        <w:rPr>
          <w:rFonts w:asciiTheme="minorHAnsi" w:hAnsiTheme="minorHAnsi"/>
          <w:sz w:val="21"/>
          <w:szCs w:val="21"/>
        </w:rPr>
        <w:t xml:space="preserve">attracting regular custom from outside of the UK and last year generated revenue from over 40 countries, with all sales coming through the </w:t>
      </w:r>
      <w:hyperlink r:id="rId7" w:history="1">
        <w:r w:rsidR="00F83A25" w:rsidRPr="0040307B">
          <w:rPr>
            <w:rStyle w:val="Hyperlink"/>
            <w:rFonts w:asciiTheme="minorHAnsi" w:hAnsiTheme="minorHAnsi"/>
            <w:color w:val="auto"/>
            <w:sz w:val="21"/>
            <w:szCs w:val="21"/>
          </w:rPr>
          <w:t>www.anglingdirect.co.uk</w:t>
        </w:r>
      </w:hyperlink>
      <w:r w:rsidR="00F83A25" w:rsidRPr="0040307B">
        <w:rPr>
          <w:rStyle w:val="Hyperlink"/>
          <w:rFonts w:asciiTheme="minorHAnsi" w:hAnsiTheme="minorHAnsi"/>
          <w:color w:val="auto"/>
          <w:sz w:val="21"/>
          <w:szCs w:val="21"/>
          <w:u w:val="none"/>
        </w:rPr>
        <w:t xml:space="preserve"> </w:t>
      </w:r>
      <w:r w:rsidR="00F83A25" w:rsidRPr="004D5BFB">
        <w:rPr>
          <w:rFonts w:asciiTheme="minorHAnsi" w:hAnsiTheme="minorHAnsi"/>
          <w:sz w:val="21"/>
          <w:szCs w:val="21"/>
        </w:rPr>
        <w:t>website</w:t>
      </w:r>
      <w:r w:rsidR="00F83A25" w:rsidRPr="0040307B">
        <w:rPr>
          <w:rFonts w:asciiTheme="minorHAnsi" w:hAnsiTheme="minorHAnsi"/>
          <w:sz w:val="21"/>
          <w:szCs w:val="21"/>
        </w:rPr>
        <w:t xml:space="preserve">. </w:t>
      </w:r>
      <w:r w:rsidR="002B15DB" w:rsidRPr="0040307B">
        <w:rPr>
          <w:rFonts w:asciiTheme="minorHAnsi" w:hAnsiTheme="minorHAnsi"/>
          <w:sz w:val="21"/>
          <w:szCs w:val="21"/>
        </w:rPr>
        <w:t xml:space="preserve">The Company </w:t>
      </w:r>
      <w:r w:rsidR="004D5BFB">
        <w:rPr>
          <w:rFonts w:asciiTheme="minorHAnsi" w:hAnsiTheme="minorHAnsi"/>
          <w:sz w:val="21"/>
          <w:szCs w:val="21"/>
        </w:rPr>
        <w:t xml:space="preserve">expects to invest </w:t>
      </w:r>
      <w:r w:rsidR="002B15DB" w:rsidRPr="0040307B">
        <w:rPr>
          <w:rFonts w:asciiTheme="minorHAnsi" w:hAnsiTheme="minorHAnsi"/>
          <w:sz w:val="21"/>
          <w:szCs w:val="21"/>
        </w:rPr>
        <w:t>mor</w:t>
      </w:r>
      <w:r w:rsidR="009E7994" w:rsidRPr="0040307B">
        <w:rPr>
          <w:rFonts w:asciiTheme="minorHAnsi" w:hAnsiTheme="minorHAnsi"/>
          <w:sz w:val="21"/>
          <w:szCs w:val="21"/>
        </w:rPr>
        <w:t xml:space="preserve">e resources this year </w:t>
      </w:r>
      <w:r w:rsidR="004D5BFB">
        <w:rPr>
          <w:rFonts w:asciiTheme="minorHAnsi" w:hAnsiTheme="minorHAnsi"/>
          <w:sz w:val="21"/>
          <w:szCs w:val="21"/>
        </w:rPr>
        <w:t>in</w:t>
      </w:r>
      <w:r w:rsidR="009E7994" w:rsidRPr="0040307B">
        <w:rPr>
          <w:rFonts w:asciiTheme="minorHAnsi" w:hAnsiTheme="minorHAnsi"/>
          <w:sz w:val="21"/>
          <w:szCs w:val="21"/>
        </w:rPr>
        <w:t>to grow</w:t>
      </w:r>
      <w:r w:rsidR="004D5BFB">
        <w:rPr>
          <w:rFonts w:asciiTheme="minorHAnsi" w:hAnsiTheme="minorHAnsi"/>
          <w:sz w:val="21"/>
          <w:szCs w:val="21"/>
        </w:rPr>
        <w:t>ing</w:t>
      </w:r>
      <w:r w:rsidR="002B15DB" w:rsidRPr="0040307B">
        <w:rPr>
          <w:rFonts w:asciiTheme="minorHAnsi" w:hAnsiTheme="minorHAnsi"/>
          <w:sz w:val="21"/>
          <w:szCs w:val="21"/>
        </w:rPr>
        <w:t xml:space="preserve"> overseas sales, and to support this it will be introducing </w:t>
      </w:r>
      <w:r w:rsidRPr="0040307B">
        <w:rPr>
          <w:rFonts w:asciiTheme="minorHAnsi" w:hAnsiTheme="minorHAnsi"/>
          <w:sz w:val="21"/>
          <w:szCs w:val="21"/>
        </w:rPr>
        <w:t xml:space="preserve">country </w:t>
      </w:r>
      <w:r w:rsidR="00403C8C" w:rsidRPr="0040307B">
        <w:rPr>
          <w:rFonts w:asciiTheme="minorHAnsi" w:hAnsiTheme="minorHAnsi"/>
          <w:sz w:val="21"/>
          <w:szCs w:val="21"/>
        </w:rPr>
        <w:t>specific</w:t>
      </w:r>
      <w:r w:rsidR="00670DE6" w:rsidRPr="0040307B">
        <w:rPr>
          <w:rFonts w:asciiTheme="minorHAnsi" w:hAnsiTheme="minorHAnsi"/>
          <w:sz w:val="21"/>
          <w:szCs w:val="21"/>
        </w:rPr>
        <w:t xml:space="preserve"> websites</w:t>
      </w:r>
      <w:r w:rsidR="00C12E8E" w:rsidRPr="0040307B">
        <w:rPr>
          <w:rFonts w:asciiTheme="minorHAnsi" w:hAnsiTheme="minorHAnsi"/>
          <w:sz w:val="21"/>
          <w:szCs w:val="21"/>
        </w:rPr>
        <w:t xml:space="preserve"> to drive </w:t>
      </w:r>
      <w:r w:rsidR="002B15DB" w:rsidRPr="0040307B">
        <w:rPr>
          <w:rFonts w:asciiTheme="minorHAnsi" w:hAnsiTheme="minorHAnsi"/>
          <w:sz w:val="21"/>
          <w:szCs w:val="21"/>
        </w:rPr>
        <w:t xml:space="preserve">this </w:t>
      </w:r>
      <w:r w:rsidR="00C12E8E" w:rsidRPr="0040307B">
        <w:rPr>
          <w:rFonts w:asciiTheme="minorHAnsi" w:hAnsiTheme="minorHAnsi"/>
          <w:sz w:val="21"/>
          <w:szCs w:val="21"/>
        </w:rPr>
        <w:t xml:space="preserve">growth. </w:t>
      </w:r>
    </w:p>
    <w:p w14:paraId="7405423E" w14:textId="100DF86F" w:rsidR="00C12E8E" w:rsidRPr="0040307B" w:rsidRDefault="00E13729" w:rsidP="00CC4BA6">
      <w:pPr>
        <w:pStyle w:val="al"/>
        <w:jc w:val="both"/>
        <w:rPr>
          <w:rFonts w:asciiTheme="minorHAnsi" w:hAnsiTheme="minorHAnsi"/>
          <w:sz w:val="21"/>
          <w:szCs w:val="21"/>
        </w:rPr>
      </w:pPr>
      <w:r w:rsidRPr="0040307B">
        <w:rPr>
          <w:rFonts w:asciiTheme="minorHAnsi" w:hAnsiTheme="minorHAnsi"/>
          <w:sz w:val="21"/>
          <w:szCs w:val="21"/>
        </w:rPr>
        <w:t>N</w:t>
      </w:r>
      <w:r w:rsidR="006D3D91" w:rsidRPr="0040307B">
        <w:rPr>
          <w:rFonts w:asciiTheme="minorHAnsi" w:hAnsiTheme="minorHAnsi"/>
          <w:sz w:val="21"/>
          <w:szCs w:val="21"/>
        </w:rPr>
        <w:t>ew store opening</w:t>
      </w:r>
      <w:r w:rsidR="00C12E8E" w:rsidRPr="0040307B">
        <w:rPr>
          <w:rFonts w:asciiTheme="minorHAnsi" w:hAnsiTheme="minorHAnsi"/>
          <w:sz w:val="21"/>
          <w:szCs w:val="21"/>
        </w:rPr>
        <w:t>s</w:t>
      </w:r>
      <w:r w:rsidR="006D3D91" w:rsidRPr="0040307B">
        <w:rPr>
          <w:rFonts w:asciiTheme="minorHAnsi" w:hAnsiTheme="minorHAnsi"/>
          <w:sz w:val="21"/>
          <w:szCs w:val="21"/>
        </w:rPr>
        <w:t xml:space="preserve"> and</w:t>
      </w:r>
      <w:r w:rsidR="00D322C0" w:rsidRPr="0040307B">
        <w:rPr>
          <w:rFonts w:asciiTheme="minorHAnsi" w:hAnsiTheme="minorHAnsi"/>
          <w:sz w:val="21"/>
          <w:szCs w:val="21"/>
        </w:rPr>
        <w:t xml:space="preserve"> sustained</w:t>
      </w:r>
      <w:r w:rsidR="006D3D91" w:rsidRPr="0040307B">
        <w:rPr>
          <w:rFonts w:asciiTheme="minorHAnsi" w:hAnsiTheme="minorHAnsi"/>
          <w:sz w:val="21"/>
          <w:szCs w:val="21"/>
        </w:rPr>
        <w:t xml:space="preserve"> online growth</w:t>
      </w:r>
      <w:r w:rsidR="001365F3" w:rsidRPr="0040307B">
        <w:rPr>
          <w:rFonts w:asciiTheme="minorHAnsi" w:hAnsiTheme="minorHAnsi"/>
          <w:sz w:val="21"/>
          <w:szCs w:val="21"/>
        </w:rPr>
        <w:t>,</w:t>
      </w:r>
      <w:r w:rsidR="00340E29" w:rsidRPr="0040307B">
        <w:rPr>
          <w:rFonts w:asciiTheme="minorHAnsi" w:hAnsiTheme="minorHAnsi"/>
          <w:sz w:val="21"/>
          <w:szCs w:val="21"/>
        </w:rPr>
        <w:t xml:space="preserve"> with both</w:t>
      </w:r>
      <w:r w:rsidR="006D3D91" w:rsidRPr="0040307B">
        <w:rPr>
          <w:rFonts w:asciiTheme="minorHAnsi" w:hAnsiTheme="minorHAnsi"/>
          <w:sz w:val="21"/>
          <w:szCs w:val="21"/>
        </w:rPr>
        <w:t xml:space="preserve"> Angling Direct and Fosters </w:t>
      </w:r>
      <w:r w:rsidR="00A15D4B" w:rsidRPr="0040307B">
        <w:rPr>
          <w:rFonts w:asciiTheme="minorHAnsi" w:hAnsiTheme="minorHAnsi"/>
          <w:sz w:val="21"/>
          <w:szCs w:val="21"/>
        </w:rPr>
        <w:t>of</w:t>
      </w:r>
      <w:r w:rsidR="006D3D91" w:rsidRPr="0040307B">
        <w:rPr>
          <w:rFonts w:asciiTheme="minorHAnsi" w:hAnsiTheme="minorHAnsi"/>
          <w:sz w:val="21"/>
          <w:szCs w:val="21"/>
        </w:rPr>
        <w:t xml:space="preserve"> Birmingham brands</w:t>
      </w:r>
      <w:r w:rsidR="001365F3" w:rsidRPr="0040307B">
        <w:rPr>
          <w:rFonts w:asciiTheme="minorHAnsi" w:hAnsiTheme="minorHAnsi"/>
          <w:sz w:val="21"/>
          <w:szCs w:val="21"/>
        </w:rPr>
        <w:t>,</w:t>
      </w:r>
      <w:r w:rsidR="006208CB" w:rsidRPr="0040307B">
        <w:rPr>
          <w:rFonts w:asciiTheme="minorHAnsi" w:hAnsiTheme="minorHAnsi"/>
          <w:sz w:val="21"/>
          <w:szCs w:val="21"/>
        </w:rPr>
        <w:t xml:space="preserve"> offers </w:t>
      </w:r>
      <w:r w:rsidR="00A7484C" w:rsidRPr="0040307B">
        <w:rPr>
          <w:rFonts w:asciiTheme="minorHAnsi" w:hAnsiTheme="minorHAnsi"/>
          <w:sz w:val="21"/>
          <w:szCs w:val="21"/>
        </w:rPr>
        <w:t>the Group</w:t>
      </w:r>
      <w:r w:rsidR="006208CB" w:rsidRPr="0040307B">
        <w:rPr>
          <w:rFonts w:asciiTheme="minorHAnsi" w:hAnsiTheme="minorHAnsi"/>
          <w:sz w:val="21"/>
          <w:szCs w:val="21"/>
        </w:rPr>
        <w:t xml:space="preserve"> a very positive outlook</w:t>
      </w:r>
      <w:r w:rsidR="006D3D91" w:rsidRPr="0040307B">
        <w:rPr>
          <w:rFonts w:asciiTheme="minorHAnsi" w:hAnsiTheme="minorHAnsi"/>
          <w:sz w:val="21"/>
          <w:szCs w:val="21"/>
        </w:rPr>
        <w:t xml:space="preserve"> </w:t>
      </w:r>
      <w:r w:rsidR="00F6096D" w:rsidRPr="0040307B">
        <w:rPr>
          <w:rFonts w:asciiTheme="minorHAnsi" w:hAnsiTheme="minorHAnsi"/>
          <w:sz w:val="21"/>
          <w:szCs w:val="21"/>
        </w:rPr>
        <w:t>despite higher</w:t>
      </w:r>
      <w:r w:rsidR="006208CB" w:rsidRPr="0040307B">
        <w:rPr>
          <w:rFonts w:asciiTheme="minorHAnsi" w:hAnsiTheme="minorHAnsi"/>
          <w:sz w:val="21"/>
          <w:szCs w:val="21"/>
        </w:rPr>
        <w:t xml:space="preserve"> labour</w:t>
      </w:r>
      <w:r w:rsidR="00F6096D" w:rsidRPr="0040307B">
        <w:rPr>
          <w:rFonts w:asciiTheme="minorHAnsi" w:hAnsiTheme="minorHAnsi"/>
          <w:sz w:val="21"/>
          <w:szCs w:val="21"/>
        </w:rPr>
        <w:t xml:space="preserve"> costs and</w:t>
      </w:r>
      <w:r w:rsidR="006208CB" w:rsidRPr="0040307B">
        <w:rPr>
          <w:rFonts w:asciiTheme="minorHAnsi" w:hAnsiTheme="minorHAnsi"/>
          <w:sz w:val="21"/>
          <w:szCs w:val="21"/>
        </w:rPr>
        <w:t xml:space="preserve"> incr</w:t>
      </w:r>
      <w:r w:rsidR="00AD3E58" w:rsidRPr="0040307B">
        <w:rPr>
          <w:rFonts w:asciiTheme="minorHAnsi" w:hAnsiTheme="minorHAnsi"/>
          <w:sz w:val="21"/>
          <w:szCs w:val="21"/>
        </w:rPr>
        <w:t>eased margin pressure.</w:t>
      </w:r>
      <w:r w:rsidRPr="0040307B">
        <w:rPr>
          <w:rFonts w:asciiTheme="minorHAnsi" w:hAnsiTheme="minorHAnsi"/>
          <w:sz w:val="21"/>
          <w:szCs w:val="21"/>
        </w:rPr>
        <w:t xml:space="preserve"> </w:t>
      </w:r>
      <w:r w:rsidR="00620CB9" w:rsidRPr="0040307B">
        <w:rPr>
          <w:rFonts w:asciiTheme="minorHAnsi" w:hAnsiTheme="minorHAnsi"/>
          <w:sz w:val="21"/>
          <w:szCs w:val="21"/>
        </w:rPr>
        <w:t xml:space="preserve">The Board remains confident of continued strong growth </w:t>
      </w:r>
      <w:r w:rsidR="00DD1085" w:rsidRPr="0040307B">
        <w:rPr>
          <w:rFonts w:asciiTheme="minorHAnsi" w:hAnsiTheme="minorHAnsi"/>
          <w:sz w:val="21"/>
          <w:szCs w:val="21"/>
        </w:rPr>
        <w:t>this year</w:t>
      </w:r>
      <w:r w:rsidR="00620CB9" w:rsidRPr="0040307B">
        <w:rPr>
          <w:rFonts w:asciiTheme="minorHAnsi" w:hAnsiTheme="minorHAnsi"/>
          <w:sz w:val="21"/>
          <w:szCs w:val="21"/>
        </w:rPr>
        <w:t xml:space="preserve"> and beyond. </w:t>
      </w:r>
    </w:p>
    <w:p w14:paraId="4F5D7A3F" w14:textId="77777777" w:rsidR="00954763" w:rsidRDefault="00620CB9" w:rsidP="00CC4BA6">
      <w:pPr>
        <w:pStyle w:val="al"/>
        <w:jc w:val="both"/>
        <w:rPr>
          <w:rFonts w:asciiTheme="minorHAnsi" w:hAnsiTheme="minorHAnsi"/>
          <w:sz w:val="21"/>
          <w:szCs w:val="21"/>
        </w:rPr>
      </w:pPr>
      <w:r w:rsidRPr="0040307B">
        <w:rPr>
          <w:rFonts w:asciiTheme="minorHAnsi" w:hAnsiTheme="minorHAnsi"/>
          <w:sz w:val="21"/>
          <w:szCs w:val="21"/>
        </w:rPr>
        <w:t>The Company intends to issue its full year result</w:t>
      </w:r>
      <w:r w:rsidR="00EC4BEC" w:rsidRPr="0040307B">
        <w:rPr>
          <w:rFonts w:asciiTheme="minorHAnsi" w:hAnsiTheme="minorHAnsi"/>
          <w:sz w:val="21"/>
          <w:szCs w:val="21"/>
        </w:rPr>
        <w:t xml:space="preserve">s on </w:t>
      </w:r>
      <w:r w:rsidR="007C2052" w:rsidRPr="0040307B">
        <w:rPr>
          <w:rFonts w:asciiTheme="minorHAnsi" w:hAnsiTheme="minorHAnsi"/>
          <w:sz w:val="21"/>
          <w:szCs w:val="21"/>
        </w:rPr>
        <w:t>14th</w:t>
      </w:r>
      <w:r w:rsidR="00EC4BEC" w:rsidRPr="0040307B">
        <w:rPr>
          <w:rFonts w:asciiTheme="minorHAnsi" w:hAnsiTheme="minorHAnsi"/>
          <w:sz w:val="21"/>
          <w:szCs w:val="21"/>
        </w:rPr>
        <w:t xml:space="preserve"> May</w:t>
      </w:r>
      <w:r w:rsidR="00DD1085" w:rsidRPr="0040307B">
        <w:rPr>
          <w:rFonts w:asciiTheme="minorHAnsi" w:hAnsiTheme="minorHAnsi"/>
          <w:sz w:val="21"/>
          <w:szCs w:val="21"/>
        </w:rPr>
        <w:t xml:space="preserve"> 2</w:t>
      </w:r>
      <w:r w:rsidR="00AD3E58" w:rsidRPr="0040307B">
        <w:rPr>
          <w:rFonts w:asciiTheme="minorHAnsi" w:hAnsiTheme="minorHAnsi"/>
          <w:sz w:val="21"/>
          <w:szCs w:val="21"/>
        </w:rPr>
        <w:t>018.</w:t>
      </w:r>
    </w:p>
    <w:p w14:paraId="5DBC21AA" w14:textId="45C8E71D" w:rsidR="00954763" w:rsidRPr="0040307B" w:rsidRDefault="00954763" w:rsidP="00CC4BA6">
      <w:pPr>
        <w:pStyle w:val="al"/>
        <w:jc w:val="both"/>
        <w:rPr>
          <w:rFonts w:asciiTheme="minorHAnsi" w:hAnsiTheme="minorHAnsi"/>
          <w:sz w:val="21"/>
          <w:szCs w:val="21"/>
        </w:rPr>
      </w:pPr>
      <w:r w:rsidRPr="00954763">
        <w:rPr>
          <w:rFonts w:asciiTheme="minorHAnsi" w:hAnsiTheme="minorHAnsi"/>
          <w:sz w:val="21"/>
          <w:szCs w:val="21"/>
        </w:rPr>
        <w:t>This announcement contains inside information.</w:t>
      </w:r>
    </w:p>
    <w:p w14:paraId="560D2EBB" w14:textId="77777777" w:rsidR="00A7484C" w:rsidRPr="0040307B" w:rsidRDefault="00A7484C" w:rsidP="00A7484C">
      <w:pPr>
        <w:widowControl w:val="0"/>
        <w:autoSpaceDE w:val="0"/>
        <w:autoSpaceDN w:val="0"/>
        <w:adjustRightInd w:val="0"/>
        <w:rPr>
          <w:rFonts w:asciiTheme="minorHAnsi" w:eastAsiaTheme="minorHAnsi" w:hAnsiTheme="minorHAnsi"/>
          <w:b/>
          <w:bCs/>
          <w:sz w:val="21"/>
          <w:szCs w:val="21"/>
        </w:rPr>
      </w:pPr>
      <w:r w:rsidRPr="0040307B">
        <w:rPr>
          <w:rFonts w:asciiTheme="minorHAnsi" w:hAnsiTheme="minorHAnsi"/>
          <w:b/>
          <w:bCs/>
          <w:sz w:val="21"/>
          <w:szCs w:val="21"/>
        </w:rPr>
        <w:t>For further information:</w:t>
      </w:r>
    </w:p>
    <w:tbl>
      <w:tblPr>
        <w:tblW w:w="12344" w:type="dxa"/>
        <w:tblInd w:w="-142" w:type="dxa"/>
        <w:tblBorders>
          <w:top w:val="nil"/>
          <w:left w:val="nil"/>
          <w:right w:val="nil"/>
        </w:tblBorders>
        <w:tblLayout w:type="fixed"/>
        <w:tblLook w:val="0000" w:firstRow="0" w:lastRow="0" w:firstColumn="0" w:lastColumn="0" w:noHBand="0" w:noVBand="0"/>
      </w:tblPr>
      <w:tblGrid>
        <w:gridCol w:w="142"/>
        <w:gridCol w:w="6096"/>
        <w:gridCol w:w="142"/>
        <w:gridCol w:w="5822"/>
        <w:gridCol w:w="142"/>
      </w:tblGrid>
      <w:tr w:rsidR="00A7484C" w:rsidRPr="0040307B" w14:paraId="6DEF752D" w14:textId="77777777" w:rsidTr="00C527F0">
        <w:trPr>
          <w:gridBefore w:val="1"/>
          <w:wBefore w:w="142" w:type="dxa"/>
        </w:trPr>
        <w:tc>
          <w:tcPr>
            <w:tcW w:w="6238" w:type="dxa"/>
            <w:gridSpan w:val="2"/>
            <w:tcBorders>
              <w:top w:val="nil"/>
              <w:left w:val="nil"/>
            </w:tcBorders>
          </w:tcPr>
          <w:p w14:paraId="52C6A907" w14:textId="77777777" w:rsidR="00A7484C" w:rsidRPr="0040307B" w:rsidRDefault="00A7484C" w:rsidP="00C527F0">
            <w:pPr>
              <w:widowControl w:val="0"/>
              <w:autoSpaceDE w:val="0"/>
              <w:autoSpaceDN w:val="0"/>
              <w:adjustRightInd w:val="0"/>
              <w:rPr>
                <w:rFonts w:asciiTheme="minorHAnsi" w:hAnsiTheme="minorHAnsi"/>
                <w:b/>
                <w:bCs/>
                <w:sz w:val="21"/>
                <w:szCs w:val="21"/>
              </w:rPr>
            </w:pPr>
          </w:p>
          <w:p w14:paraId="2A4F5D5E"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
                <w:bCs/>
                <w:sz w:val="21"/>
                <w:szCs w:val="21"/>
              </w:rPr>
            </w:pPr>
            <w:r w:rsidRPr="0040307B">
              <w:rPr>
                <w:rFonts w:asciiTheme="minorHAnsi" w:hAnsiTheme="minorHAnsi"/>
                <w:b/>
                <w:bCs/>
                <w:sz w:val="21"/>
                <w:szCs w:val="21"/>
              </w:rPr>
              <w:t>Angling Direct PLC</w:t>
            </w:r>
          </w:p>
        </w:tc>
        <w:tc>
          <w:tcPr>
            <w:tcW w:w="5964" w:type="dxa"/>
            <w:gridSpan w:val="2"/>
            <w:tcBorders>
              <w:top w:val="nil"/>
              <w:right w:val="nil"/>
            </w:tcBorders>
          </w:tcPr>
          <w:p w14:paraId="41BDA13C" w14:textId="77777777" w:rsidR="00A7484C" w:rsidRPr="0040307B" w:rsidRDefault="00A7484C" w:rsidP="00C527F0">
            <w:pPr>
              <w:pStyle w:val="p1"/>
              <w:rPr>
                <w:rFonts w:asciiTheme="minorHAnsi" w:hAnsiTheme="minorHAnsi" w:cs="Times New Roman"/>
                <w:b/>
                <w:bCs/>
                <w:sz w:val="21"/>
                <w:szCs w:val="21"/>
              </w:rPr>
            </w:pPr>
          </w:p>
          <w:p w14:paraId="22DF5C95" w14:textId="77777777" w:rsidR="00A7484C" w:rsidRPr="0040307B" w:rsidRDefault="00A7484C" w:rsidP="00C527F0">
            <w:pPr>
              <w:pStyle w:val="p1"/>
              <w:spacing w:before="100" w:beforeAutospacing="1" w:after="100" w:afterAutospacing="1"/>
              <w:rPr>
                <w:rFonts w:asciiTheme="minorHAnsi" w:hAnsiTheme="minorHAnsi" w:cs="Times New Roman"/>
                <w:bCs/>
                <w:sz w:val="21"/>
                <w:szCs w:val="21"/>
              </w:rPr>
            </w:pPr>
            <w:r w:rsidRPr="0040307B">
              <w:rPr>
                <w:rFonts w:asciiTheme="minorHAnsi" w:hAnsiTheme="minorHAnsi" w:cs="Times New Roman"/>
                <w:bCs/>
                <w:sz w:val="21"/>
                <w:szCs w:val="21"/>
              </w:rPr>
              <w:t xml:space="preserve">+44 (0) 1603 258658 </w:t>
            </w:r>
          </w:p>
        </w:tc>
      </w:tr>
      <w:tr w:rsidR="00A7484C" w:rsidRPr="0040307B" w14:paraId="603209C1" w14:textId="77777777" w:rsidTr="00C527F0">
        <w:trPr>
          <w:gridBefore w:val="1"/>
          <w:wBefore w:w="142" w:type="dxa"/>
        </w:trPr>
        <w:tc>
          <w:tcPr>
            <w:tcW w:w="6238" w:type="dxa"/>
            <w:gridSpan w:val="2"/>
            <w:tcBorders>
              <w:left w:val="nil"/>
            </w:tcBorders>
          </w:tcPr>
          <w:p w14:paraId="166F3044"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Cs/>
                <w:sz w:val="21"/>
                <w:szCs w:val="21"/>
              </w:rPr>
            </w:pPr>
            <w:r w:rsidRPr="0040307B">
              <w:rPr>
                <w:rFonts w:asciiTheme="minorHAnsi" w:hAnsiTheme="minorHAnsi"/>
                <w:bCs/>
                <w:sz w:val="21"/>
                <w:szCs w:val="21"/>
              </w:rPr>
              <w:t>Martyn Page, Executive Chairman</w:t>
            </w:r>
          </w:p>
        </w:tc>
        <w:tc>
          <w:tcPr>
            <w:tcW w:w="5964" w:type="dxa"/>
            <w:gridSpan w:val="2"/>
            <w:tcBorders>
              <w:right w:val="nil"/>
            </w:tcBorders>
          </w:tcPr>
          <w:p w14:paraId="429B705A" w14:textId="77777777" w:rsidR="00A7484C" w:rsidRPr="0040307B" w:rsidRDefault="00A7484C" w:rsidP="00C527F0">
            <w:pPr>
              <w:pStyle w:val="p1"/>
              <w:rPr>
                <w:rFonts w:asciiTheme="minorHAnsi" w:hAnsiTheme="minorHAnsi" w:cs="Times New Roman"/>
                <w:b/>
                <w:bCs/>
                <w:sz w:val="21"/>
                <w:szCs w:val="21"/>
              </w:rPr>
            </w:pPr>
          </w:p>
        </w:tc>
      </w:tr>
      <w:tr w:rsidR="00A7484C" w:rsidRPr="0040307B" w14:paraId="28FEDCFF" w14:textId="77777777" w:rsidTr="00C527F0">
        <w:trPr>
          <w:gridBefore w:val="1"/>
          <w:wBefore w:w="142" w:type="dxa"/>
        </w:trPr>
        <w:tc>
          <w:tcPr>
            <w:tcW w:w="6238" w:type="dxa"/>
            <w:gridSpan w:val="2"/>
            <w:tcBorders>
              <w:left w:val="nil"/>
            </w:tcBorders>
          </w:tcPr>
          <w:p w14:paraId="7AAD21E1"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Cs/>
                <w:sz w:val="21"/>
                <w:szCs w:val="21"/>
              </w:rPr>
            </w:pPr>
            <w:r w:rsidRPr="0040307B">
              <w:rPr>
                <w:rFonts w:asciiTheme="minorHAnsi" w:hAnsiTheme="minorHAnsi"/>
                <w:bCs/>
                <w:sz w:val="21"/>
                <w:szCs w:val="21"/>
              </w:rPr>
              <w:t>Darren Bailey, Chief Executive Officer</w:t>
            </w:r>
          </w:p>
        </w:tc>
        <w:tc>
          <w:tcPr>
            <w:tcW w:w="5964" w:type="dxa"/>
            <w:gridSpan w:val="2"/>
            <w:tcBorders>
              <w:right w:val="nil"/>
            </w:tcBorders>
          </w:tcPr>
          <w:p w14:paraId="5EF99CBD" w14:textId="77777777" w:rsidR="00A7484C" w:rsidRPr="0040307B" w:rsidRDefault="00A7484C" w:rsidP="00C527F0">
            <w:pPr>
              <w:pStyle w:val="p1"/>
              <w:rPr>
                <w:rFonts w:asciiTheme="minorHAnsi" w:hAnsiTheme="minorHAnsi" w:cs="Times New Roman"/>
                <w:b/>
                <w:bCs/>
                <w:sz w:val="21"/>
                <w:szCs w:val="21"/>
              </w:rPr>
            </w:pPr>
          </w:p>
        </w:tc>
      </w:tr>
      <w:tr w:rsidR="00A7484C" w:rsidRPr="0040307B" w14:paraId="174011F8" w14:textId="77777777" w:rsidTr="00C527F0">
        <w:trPr>
          <w:gridBefore w:val="1"/>
          <w:wBefore w:w="142" w:type="dxa"/>
        </w:trPr>
        <w:tc>
          <w:tcPr>
            <w:tcW w:w="6238" w:type="dxa"/>
            <w:gridSpan w:val="2"/>
            <w:tcBorders>
              <w:left w:val="nil"/>
            </w:tcBorders>
          </w:tcPr>
          <w:p w14:paraId="5470F069" w14:textId="77777777" w:rsidR="00A7484C" w:rsidRPr="0040307B" w:rsidRDefault="00A7484C" w:rsidP="00C527F0">
            <w:pPr>
              <w:widowControl w:val="0"/>
              <w:autoSpaceDE w:val="0"/>
              <w:autoSpaceDN w:val="0"/>
              <w:adjustRightInd w:val="0"/>
              <w:rPr>
                <w:rFonts w:asciiTheme="minorHAnsi" w:hAnsiTheme="minorHAnsi"/>
                <w:b/>
                <w:bCs/>
                <w:sz w:val="21"/>
                <w:szCs w:val="21"/>
              </w:rPr>
            </w:pPr>
          </w:p>
          <w:p w14:paraId="0BC3DAD1"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
                <w:bCs/>
                <w:sz w:val="21"/>
                <w:szCs w:val="21"/>
              </w:rPr>
            </w:pPr>
            <w:r w:rsidRPr="0040307B">
              <w:rPr>
                <w:rFonts w:asciiTheme="minorHAnsi" w:hAnsiTheme="minorHAnsi"/>
                <w:b/>
                <w:bCs/>
                <w:sz w:val="21"/>
                <w:szCs w:val="21"/>
              </w:rPr>
              <w:t>Cenkos Securities – NOMAD and Broker</w:t>
            </w:r>
          </w:p>
        </w:tc>
        <w:tc>
          <w:tcPr>
            <w:tcW w:w="5964" w:type="dxa"/>
            <w:gridSpan w:val="2"/>
            <w:tcBorders>
              <w:right w:val="nil"/>
            </w:tcBorders>
          </w:tcPr>
          <w:p w14:paraId="73AE4243" w14:textId="77777777" w:rsidR="00A7484C" w:rsidRPr="0040307B" w:rsidRDefault="00A7484C" w:rsidP="00C527F0">
            <w:pPr>
              <w:pStyle w:val="p1"/>
              <w:rPr>
                <w:rFonts w:asciiTheme="minorHAnsi" w:hAnsiTheme="minorHAnsi" w:cs="Times New Roman"/>
                <w:b/>
                <w:bCs/>
                <w:sz w:val="21"/>
                <w:szCs w:val="21"/>
              </w:rPr>
            </w:pPr>
          </w:p>
          <w:p w14:paraId="7F310956" w14:textId="77777777" w:rsidR="00A7484C" w:rsidRPr="0040307B" w:rsidRDefault="00A7484C" w:rsidP="00C527F0">
            <w:pPr>
              <w:pStyle w:val="p1"/>
              <w:spacing w:before="100" w:beforeAutospacing="1" w:after="100" w:afterAutospacing="1"/>
              <w:rPr>
                <w:rFonts w:asciiTheme="minorHAnsi" w:hAnsiTheme="minorHAnsi" w:cs="Times New Roman"/>
                <w:bCs/>
                <w:sz w:val="21"/>
                <w:szCs w:val="21"/>
              </w:rPr>
            </w:pPr>
            <w:r w:rsidRPr="0040307B">
              <w:rPr>
                <w:rFonts w:asciiTheme="minorHAnsi" w:hAnsiTheme="minorHAnsi" w:cs="Times New Roman"/>
                <w:bCs/>
                <w:sz w:val="21"/>
                <w:szCs w:val="21"/>
              </w:rPr>
              <w:t>+44 (0) 20 7397 8900</w:t>
            </w:r>
          </w:p>
        </w:tc>
      </w:tr>
      <w:tr w:rsidR="00A7484C" w:rsidRPr="0040307B" w14:paraId="220B1F46" w14:textId="77777777" w:rsidTr="00C527F0">
        <w:trPr>
          <w:gridBefore w:val="1"/>
          <w:wBefore w:w="142" w:type="dxa"/>
        </w:trPr>
        <w:tc>
          <w:tcPr>
            <w:tcW w:w="6238" w:type="dxa"/>
            <w:gridSpan w:val="2"/>
            <w:tcBorders>
              <w:left w:val="nil"/>
            </w:tcBorders>
          </w:tcPr>
          <w:p w14:paraId="0FFE15F6"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Cs/>
                <w:sz w:val="21"/>
                <w:szCs w:val="21"/>
              </w:rPr>
            </w:pPr>
            <w:r w:rsidRPr="0040307B">
              <w:rPr>
                <w:rFonts w:asciiTheme="minorHAnsi" w:hAnsiTheme="minorHAnsi"/>
                <w:bCs/>
                <w:sz w:val="21"/>
                <w:szCs w:val="21"/>
              </w:rPr>
              <w:t>Bobbie Hilliam (Corporate Finance)</w:t>
            </w:r>
          </w:p>
          <w:p w14:paraId="219D410E"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Cs/>
                <w:sz w:val="21"/>
                <w:szCs w:val="21"/>
              </w:rPr>
            </w:pPr>
            <w:r w:rsidRPr="0040307B">
              <w:rPr>
                <w:rFonts w:asciiTheme="minorHAnsi" w:hAnsiTheme="minorHAnsi"/>
                <w:bCs/>
                <w:sz w:val="21"/>
                <w:szCs w:val="21"/>
              </w:rPr>
              <w:t>Russell Kerr (Sales)</w:t>
            </w:r>
          </w:p>
        </w:tc>
        <w:tc>
          <w:tcPr>
            <w:tcW w:w="5964" w:type="dxa"/>
            <w:gridSpan w:val="2"/>
            <w:tcBorders>
              <w:right w:val="nil"/>
            </w:tcBorders>
          </w:tcPr>
          <w:p w14:paraId="28D582E4" w14:textId="77777777" w:rsidR="00A7484C" w:rsidRPr="0040307B" w:rsidRDefault="00A7484C" w:rsidP="00C527F0">
            <w:pPr>
              <w:pStyle w:val="p1"/>
              <w:rPr>
                <w:rFonts w:asciiTheme="minorHAnsi" w:hAnsiTheme="minorHAnsi" w:cs="Times New Roman"/>
                <w:b/>
                <w:bCs/>
                <w:sz w:val="21"/>
                <w:szCs w:val="21"/>
              </w:rPr>
            </w:pPr>
          </w:p>
        </w:tc>
      </w:tr>
      <w:tr w:rsidR="00A7484C" w:rsidRPr="0040307B" w14:paraId="0E64C7FC" w14:textId="77777777" w:rsidTr="00C527F0">
        <w:trPr>
          <w:gridAfter w:val="1"/>
          <w:wAfter w:w="142" w:type="dxa"/>
        </w:trPr>
        <w:tc>
          <w:tcPr>
            <w:tcW w:w="6238" w:type="dxa"/>
            <w:gridSpan w:val="2"/>
            <w:tcBorders>
              <w:left w:val="nil"/>
            </w:tcBorders>
          </w:tcPr>
          <w:p w14:paraId="1FBB8DFC" w14:textId="77777777" w:rsidR="00A7484C" w:rsidRPr="0040307B" w:rsidRDefault="00A7484C" w:rsidP="00C527F0">
            <w:pPr>
              <w:widowControl w:val="0"/>
              <w:autoSpaceDE w:val="0"/>
              <w:autoSpaceDN w:val="0"/>
              <w:adjustRightInd w:val="0"/>
              <w:rPr>
                <w:rFonts w:asciiTheme="minorHAnsi" w:hAnsiTheme="minorHAnsi"/>
                <w:b/>
                <w:bCs/>
                <w:sz w:val="21"/>
                <w:szCs w:val="21"/>
              </w:rPr>
            </w:pPr>
          </w:p>
        </w:tc>
        <w:tc>
          <w:tcPr>
            <w:tcW w:w="5964" w:type="dxa"/>
            <w:gridSpan w:val="2"/>
            <w:tcBorders>
              <w:right w:val="nil"/>
            </w:tcBorders>
          </w:tcPr>
          <w:p w14:paraId="7942AFF2" w14:textId="77777777" w:rsidR="00A7484C" w:rsidRPr="0040307B" w:rsidRDefault="00A7484C" w:rsidP="00C527F0">
            <w:pPr>
              <w:pStyle w:val="p1"/>
              <w:rPr>
                <w:rFonts w:asciiTheme="minorHAnsi" w:hAnsiTheme="minorHAnsi" w:cs="Times New Roman"/>
                <w:b/>
                <w:bCs/>
                <w:sz w:val="21"/>
                <w:szCs w:val="21"/>
              </w:rPr>
            </w:pPr>
          </w:p>
        </w:tc>
      </w:tr>
      <w:tr w:rsidR="00A7484C" w:rsidRPr="0040307B" w14:paraId="6FFE001E" w14:textId="77777777" w:rsidTr="00C527F0">
        <w:trPr>
          <w:gridBefore w:val="1"/>
          <w:wBefore w:w="142" w:type="dxa"/>
        </w:trPr>
        <w:tc>
          <w:tcPr>
            <w:tcW w:w="6238" w:type="dxa"/>
            <w:gridSpan w:val="2"/>
            <w:tcBorders>
              <w:left w:val="nil"/>
            </w:tcBorders>
          </w:tcPr>
          <w:p w14:paraId="4B58C5C5"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
                <w:bCs/>
                <w:sz w:val="21"/>
                <w:szCs w:val="21"/>
              </w:rPr>
            </w:pPr>
            <w:r w:rsidRPr="0040307B">
              <w:rPr>
                <w:rFonts w:asciiTheme="minorHAnsi" w:hAnsiTheme="minorHAnsi"/>
                <w:b/>
                <w:bCs/>
                <w:sz w:val="21"/>
                <w:szCs w:val="21"/>
              </w:rPr>
              <w:t>Yellow Jersey PR – Financial PR</w:t>
            </w:r>
          </w:p>
        </w:tc>
        <w:tc>
          <w:tcPr>
            <w:tcW w:w="5964" w:type="dxa"/>
            <w:gridSpan w:val="2"/>
            <w:tcBorders>
              <w:right w:val="nil"/>
            </w:tcBorders>
          </w:tcPr>
          <w:p w14:paraId="27A7EB63" w14:textId="77777777" w:rsidR="00A7484C" w:rsidRPr="0040307B" w:rsidRDefault="00A7484C" w:rsidP="00C527F0">
            <w:pPr>
              <w:pStyle w:val="p1"/>
              <w:rPr>
                <w:rFonts w:asciiTheme="minorHAnsi" w:hAnsiTheme="minorHAnsi" w:cs="Times New Roman"/>
                <w:b/>
                <w:bCs/>
                <w:sz w:val="21"/>
                <w:szCs w:val="21"/>
              </w:rPr>
            </w:pPr>
          </w:p>
        </w:tc>
      </w:tr>
      <w:tr w:rsidR="00A7484C" w:rsidRPr="0040307B" w14:paraId="5716CDB2" w14:textId="77777777" w:rsidTr="00C527F0">
        <w:trPr>
          <w:gridBefore w:val="1"/>
          <w:wBefore w:w="142" w:type="dxa"/>
        </w:trPr>
        <w:tc>
          <w:tcPr>
            <w:tcW w:w="6238" w:type="dxa"/>
            <w:gridSpan w:val="2"/>
            <w:tcBorders>
              <w:left w:val="nil"/>
            </w:tcBorders>
          </w:tcPr>
          <w:p w14:paraId="7E575FDA" w14:textId="77777777" w:rsidR="00A7484C" w:rsidRPr="0040307B" w:rsidRDefault="00A7484C" w:rsidP="00C527F0">
            <w:pPr>
              <w:widowControl w:val="0"/>
              <w:autoSpaceDE w:val="0"/>
              <w:autoSpaceDN w:val="0"/>
              <w:adjustRightInd w:val="0"/>
              <w:rPr>
                <w:rFonts w:asciiTheme="minorHAnsi" w:hAnsiTheme="minorHAnsi"/>
                <w:bCs/>
                <w:sz w:val="21"/>
                <w:szCs w:val="21"/>
              </w:rPr>
            </w:pPr>
            <w:r w:rsidRPr="0040307B">
              <w:rPr>
                <w:rFonts w:asciiTheme="minorHAnsi" w:hAnsiTheme="minorHAnsi"/>
                <w:bCs/>
                <w:sz w:val="21"/>
                <w:szCs w:val="21"/>
              </w:rPr>
              <w:t xml:space="preserve">Charles Goodwin </w:t>
            </w:r>
          </w:p>
        </w:tc>
        <w:tc>
          <w:tcPr>
            <w:tcW w:w="5964" w:type="dxa"/>
            <w:gridSpan w:val="2"/>
            <w:tcBorders>
              <w:right w:val="nil"/>
            </w:tcBorders>
          </w:tcPr>
          <w:p w14:paraId="79053031" w14:textId="77777777" w:rsidR="00A7484C" w:rsidRPr="0040307B" w:rsidRDefault="00A7484C" w:rsidP="00C527F0">
            <w:pPr>
              <w:pStyle w:val="p1"/>
              <w:spacing w:before="100" w:beforeAutospacing="1" w:after="100" w:afterAutospacing="1"/>
              <w:rPr>
                <w:rFonts w:asciiTheme="minorHAnsi" w:hAnsiTheme="minorHAnsi" w:cs="Times New Roman"/>
                <w:bCs/>
                <w:sz w:val="21"/>
                <w:szCs w:val="21"/>
              </w:rPr>
            </w:pPr>
            <w:r w:rsidRPr="0040307B">
              <w:rPr>
                <w:rFonts w:asciiTheme="minorHAnsi" w:hAnsiTheme="minorHAnsi" w:cs="Times New Roman"/>
                <w:bCs/>
                <w:sz w:val="21"/>
                <w:szCs w:val="21"/>
              </w:rPr>
              <w:t>+44 (0) 7747 788 221</w:t>
            </w:r>
          </w:p>
        </w:tc>
      </w:tr>
      <w:tr w:rsidR="00A7484C" w:rsidRPr="0040307B" w14:paraId="23A124EC" w14:textId="77777777" w:rsidTr="00C527F0">
        <w:trPr>
          <w:gridBefore w:val="1"/>
          <w:wBefore w:w="142" w:type="dxa"/>
          <w:trHeight w:val="377"/>
        </w:trPr>
        <w:tc>
          <w:tcPr>
            <w:tcW w:w="6238" w:type="dxa"/>
            <w:gridSpan w:val="2"/>
            <w:tcBorders>
              <w:left w:val="nil"/>
            </w:tcBorders>
          </w:tcPr>
          <w:p w14:paraId="20DE1649" w14:textId="77777777" w:rsidR="00A7484C" w:rsidRPr="0040307B" w:rsidRDefault="00A7484C" w:rsidP="00C527F0">
            <w:pPr>
              <w:widowControl w:val="0"/>
              <w:autoSpaceDE w:val="0"/>
              <w:autoSpaceDN w:val="0"/>
              <w:adjustRightInd w:val="0"/>
              <w:spacing w:before="100" w:beforeAutospacing="1" w:after="100" w:afterAutospacing="1"/>
              <w:rPr>
                <w:rFonts w:asciiTheme="minorHAnsi" w:hAnsiTheme="minorHAnsi"/>
                <w:bCs/>
                <w:sz w:val="21"/>
                <w:szCs w:val="21"/>
              </w:rPr>
            </w:pPr>
            <w:r w:rsidRPr="0040307B">
              <w:rPr>
                <w:rFonts w:asciiTheme="minorHAnsi" w:hAnsiTheme="minorHAnsi"/>
                <w:bCs/>
                <w:sz w:val="21"/>
                <w:szCs w:val="21"/>
              </w:rPr>
              <w:t>Harriet Jackson</w:t>
            </w:r>
          </w:p>
        </w:tc>
        <w:tc>
          <w:tcPr>
            <w:tcW w:w="5964" w:type="dxa"/>
            <w:gridSpan w:val="2"/>
            <w:tcBorders>
              <w:right w:val="nil"/>
            </w:tcBorders>
          </w:tcPr>
          <w:p w14:paraId="0309A239" w14:textId="77777777" w:rsidR="00A7484C" w:rsidRPr="0040307B" w:rsidRDefault="00A7484C" w:rsidP="00C527F0">
            <w:pPr>
              <w:pStyle w:val="p1"/>
              <w:spacing w:before="100" w:beforeAutospacing="1" w:after="100" w:afterAutospacing="1"/>
              <w:rPr>
                <w:rFonts w:asciiTheme="minorHAnsi" w:hAnsiTheme="minorHAnsi" w:cs="Times New Roman"/>
                <w:bCs/>
                <w:sz w:val="21"/>
                <w:szCs w:val="21"/>
              </w:rPr>
            </w:pPr>
            <w:r w:rsidRPr="0040307B">
              <w:rPr>
                <w:rFonts w:asciiTheme="minorHAnsi" w:hAnsiTheme="minorHAnsi" w:cs="Times New Roman"/>
                <w:bCs/>
                <w:sz w:val="21"/>
                <w:szCs w:val="21"/>
              </w:rPr>
              <w:t>+44 (0) 7544 275 882</w:t>
            </w:r>
          </w:p>
        </w:tc>
      </w:tr>
    </w:tbl>
    <w:p w14:paraId="78123EC3" w14:textId="77777777" w:rsidR="00A7484C" w:rsidRPr="0040307B" w:rsidRDefault="00A7484C" w:rsidP="00A7484C">
      <w:pPr>
        <w:pStyle w:val="p1"/>
        <w:rPr>
          <w:rStyle w:val="s1"/>
          <w:rFonts w:asciiTheme="minorHAnsi" w:hAnsiTheme="minorHAnsi"/>
          <w:b/>
          <w:bCs/>
          <w:sz w:val="21"/>
          <w:szCs w:val="21"/>
        </w:rPr>
      </w:pPr>
    </w:p>
    <w:p w14:paraId="6EFEA530" w14:textId="77777777" w:rsidR="00A7484C" w:rsidRPr="0040307B" w:rsidRDefault="00A7484C" w:rsidP="00A7484C">
      <w:pPr>
        <w:pStyle w:val="p1"/>
        <w:rPr>
          <w:rFonts w:asciiTheme="minorHAnsi" w:hAnsiTheme="minorHAnsi"/>
          <w:sz w:val="21"/>
          <w:szCs w:val="21"/>
        </w:rPr>
      </w:pPr>
      <w:r w:rsidRPr="0040307B">
        <w:rPr>
          <w:rStyle w:val="s1"/>
          <w:rFonts w:asciiTheme="minorHAnsi" w:hAnsiTheme="minorHAnsi"/>
          <w:b/>
          <w:bCs/>
          <w:sz w:val="21"/>
          <w:szCs w:val="21"/>
        </w:rPr>
        <w:t>Notes for editors</w:t>
      </w:r>
    </w:p>
    <w:p w14:paraId="3A142770" w14:textId="77777777" w:rsidR="00A7484C" w:rsidRPr="0040307B" w:rsidRDefault="00A7484C" w:rsidP="00A7484C">
      <w:pPr>
        <w:pStyle w:val="p1"/>
        <w:rPr>
          <w:rStyle w:val="s1"/>
          <w:rFonts w:asciiTheme="minorHAnsi" w:hAnsiTheme="minorHAnsi"/>
          <w:b/>
          <w:bCs/>
          <w:sz w:val="21"/>
          <w:szCs w:val="21"/>
        </w:rPr>
      </w:pPr>
    </w:p>
    <w:p w14:paraId="3239B70D" w14:textId="77777777" w:rsidR="00A7484C" w:rsidRPr="0040307B" w:rsidRDefault="00A7484C" w:rsidP="00A7484C">
      <w:pPr>
        <w:pStyle w:val="p1"/>
        <w:rPr>
          <w:rFonts w:asciiTheme="minorHAnsi" w:hAnsiTheme="minorHAnsi"/>
          <w:sz w:val="21"/>
          <w:szCs w:val="21"/>
        </w:rPr>
      </w:pPr>
      <w:r w:rsidRPr="0040307B">
        <w:rPr>
          <w:rStyle w:val="s1"/>
          <w:rFonts w:asciiTheme="minorHAnsi" w:hAnsiTheme="minorHAnsi"/>
          <w:b/>
          <w:bCs/>
          <w:sz w:val="21"/>
          <w:szCs w:val="21"/>
        </w:rPr>
        <w:t>About Angling Direct plc</w:t>
      </w:r>
    </w:p>
    <w:p w14:paraId="6B302C83" w14:textId="77777777" w:rsidR="00A7484C" w:rsidRPr="0040307B" w:rsidRDefault="00A7484C" w:rsidP="00A7484C">
      <w:pPr>
        <w:pStyle w:val="p2"/>
        <w:rPr>
          <w:rStyle w:val="s1"/>
          <w:rFonts w:asciiTheme="minorHAnsi" w:hAnsiTheme="minorHAnsi"/>
          <w:sz w:val="21"/>
          <w:szCs w:val="21"/>
        </w:rPr>
      </w:pPr>
    </w:p>
    <w:p w14:paraId="32287FAC" w14:textId="77777777" w:rsidR="00A7484C" w:rsidRPr="0040307B" w:rsidRDefault="00A7484C" w:rsidP="00A7484C">
      <w:pPr>
        <w:pStyle w:val="p2"/>
        <w:rPr>
          <w:rStyle w:val="s1"/>
          <w:rFonts w:asciiTheme="minorHAnsi" w:hAnsiTheme="minorHAnsi"/>
          <w:sz w:val="21"/>
          <w:szCs w:val="21"/>
        </w:rPr>
      </w:pPr>
      <w:r w:rsidRPr="0040307B">
        <w:rPr>
          <w:rStyle w:val="s1"/>
          <w:rFonts w:asciiTheme="minorHAnsi" w:hAnsiTheme="minorHAnsi"/>
          <w:sz w:val="21"/>
          <w:szCs w:val="21"/>
        </w:rPr>
        <w:t>Angling Direct is the largest specialist fishing tackle retailer in the UK. The Company sells fishing tackle products and related equipment through its network of 21 retail stores, located throughout the UK, as well as through its own website (</w:t>
      </w:r>
      <w:hyperlink r:id="rId8" w:history="1">
        <w:r w:rsidRPr="0040307B">
          <w:rPr>
            <w:rStyle w:val="Hyperlink"/>
            <w:rFonts w:asciiTheme="minorHAnsi" w:hAnsiTheme="minorHAnsi"/>
            <w:color w:val="auto"/>
            <w:sz w:val="21"/>
            <w:szCs w:val="21"/>
          </w:rPr>
          <w:t>www.anglingdirect.co.uk</w:t>
        </w:r>
      </w:hyperlink>
      <w:r w:rsidRPr="0040307B">
        <w:rPr>
          <w:rStyle w:val="s1"/>
          <w:rFonts w:asciiTheme="minorHAnsi" w:hAnsiTheme="minorHAnsi"/>
          <w:sz w:val="21"/>
          <w:szCs w:val="21"/>
        </w:rPr>
        <w:t xml:space="preserve">) and other third party websites. </w:t>
      </w:r>
    </w:p>
    <w:p w14:paraId="56B6BA7B" w14:textId="77777777" w:rsidR="00A7484C" w:rsidRPr="0040307B" w:rsidRDefault="00A7484C" w:rsidP="00A7484C">
      <w:pPr>
        <w:pStyle w:val="p2"/>
        <w:rPr>
          <w:rFonts w:asciiTheme="minorHAnsi" w:hAnsiTheme="minorHAnsi"/>
          <w:sz w:val="21"/>
          <w:szCs w:val="21"/>
        </w:rPr>
      </w:pPr>
    </w:p>
    <w:p w14:paraId="3B1CE816" w14:textId="77777777" w:rsidR="00A7484C" w:rsidRPr="0040307B" w:rsidRDefault="00A7484C" w:rsidP="00A7484C">
      <w:pPr>
        <w:pStyle w:val="p2"/>
        <w:rPr>
          <w:rStyle w:val="s1"/>
          <w:rFonts w:asciiTheme="minorHAnsi" w:hAnsiTheme="minorHAnsi"/>
          <w:sz w:val="21"/>
          <w:szCs w:val="21"/>
        </w:rPr>
      </w:pPr>
      <w:r w:rsidRPr="0040307B">
        <w:rPr>
          <w:rStyle w:val="s1"/>
          <w:rFonts w:asciiTheme="minorHAnsi" w:hAnsiTheme="minorHAnsi"/>
          <w:sz w:val="21"/>
          <w:szCs w:val="21"/>
        </w:rPr>
        <w:t>The Company currently sells over 21,500 fishing tackle products, including capital items, consumables, luggage and clothing. The Company also owns and sells fishing tackle products under its own brand ‘Advanta’, which was formally launched in March 2016.</w:t>
      </w:r>
    </w:p>
    <w:p w14:paraId="5F0060F1" w14:textId="77777777" w:rsidR="00A7484C" w:rsidRPr="0040307B" w:rsidRDefault="00A7484C" w:rsidP="00A7484C">
      <w:pPr>
        <w:pStyle w:val="p2"/>
        <w:rPr>
          <w:rStyle w:val="s1"/>
          <w:rFonts w:asciiTheme="minorHAnsi" w:hAnsiTheme="minorHAnsi"/>
          <w:sz w:val="21"/>
          <w:szCs w:val="21"/>
        </w:rPr>
      </w:pPr>
    </w:p>
    <w:p w14:paraId="2C93EC4C" w14:textId="77777777" w:rsidR="00A7484C" w:rsidRPr="0040307B" w:rsidRDefault="00A7484C" w:rsidP="00A7484C">
      <w:pPr>
        <w:pStyle w:val="p2"/>
        <w:rPr>
          <w:rFonts w:asciiTheme="minorHAnsi" w:hAnsiTheme="minorHAnsi"/>
          <w:sz w:val="21"/>
          <w:szCs w:val="21"/>
        </w:rPr>
      </w:pPr>
      <w:r w:rsidRPr="0040307B">
        <w:rPr>
          <w:rStyle w:val="s1"/>
          <w:rFonts w:asciiTheme="minorHAnsi" w:hAnsiTheme="minorHAnsi"/>
          <w:sz w:val="21"/>
          <w:szCs w:val="21"/>
        </w:rPr>
        <w:t>From 1986 to 2003 the Company’s Founders acquired interests in a number of small independent fishing tackle shops in Norfolk and, in 2003, they acquired a significant premises in Norwich, which was branded Angling Direct. Since 2003, the Company has continued to acquire or open new stores, taking the total number up to 21 retail stores. In 2015 the Company opened a 30,000 sq ft central distribution centre in Rackheath, Norfolk, where the Company’s head office is also located.</w:t>
      </w:r>
    </w:p>
    <w:p w14:paraId="41DCE4EB" w14:textId="77777777" w:rsidR="00A7484C" w:rsidRPr="0040307B" w:rsidRDefault="00A7484C" w:rsidP="00A7484C">
      <w:pPr>
        <w:pStyle w:val="p2"/>
        <w:rPr>
          <w:rStyle w:val="s1"/>
          <w:rFonts w:asciiTheme="minorHAnsi" w:hAnsiTheme="minorHAnsi"/>
          <w:sz w:val="21"/>
          <w:szCs w:val="21"/>
        </w:rPr>
      </w:pPr>
    </w:p>
    <w:p w14:paraId="5246E5E2" w14:textId="77777777" w:rsidR="00A7484C" w:rsidRPr="0040307B" w:rsidRDefault="00A7484C" w:rsidP="00A7484C">
      <w:pPr>
        <w:pStyle w:val="p2"/>
        <w:rPr>
          <w:rFonts w:asciiTheme="minorHAnsi" w:hAnsiTheme="minorHAnsi"/>
          <w:sz w:val="21"/>
          <w:szCs w:val="21"/>
        </w:rPr>
      </w:pPr>
      <w:r w:rsidRPr="0040307B">
        <w:rPr>
          <w:rStyle w:val="s1"/>
          <w:rFonts w:asciiTheme="minorHAnsi" w:hAnsiTheme="minorHAnsi"/>
          <w:sz w:val="21"/>
          <w:szCs w:val="21"/>
        </w:rPr>
        <w:t>Angling Direct’s shares are traded on the AIM market of the London Stock Exchange under the ticker symbol ANG.L.</w:t>
      </w:r>
    </w:p>
    <w:p w14:paraId="04EDF921" w14:textId="77777777" w:rsidR="00A7484C" w:rsidRPr="0040307B" w:rsidRDefault="00A7484C" w:rsidP="00A7484C">
      <w:pPr>
        <w:pStyle w:val="p2"/>
        <w:rPr>
          <w:rStyle w:val="s1"/>
          <w:rFonts w:asciiTheme="minorHAnsi" w:hAnsiTheme="minorHAnsi"/>
          <w:sz w:val="21"/>
          <w:szCs w:val="21"/>
        </w:rPr>
      </w:pPr>
    </w:p>
    <w:p w14:paraId="387B1B4A" w14:textId="77777777" w:rsidR="00A7484C" w:rsidRPr="0040307B" w:rsidRDefault="00A7484C" w:rsidP="00A7484C">
      <w:pPr>
        <w:pStyle w:val="p2"/>
        <w:rPr>
          <w:rStyle w:val="s1"/>
          <w:rFonts w:asciiTheme="minorHAnsi" w:hAnsiTheme="minorHAnsi"/>
          <w:sz w:val="21"/>
          <w:szCs w:val="21"/>
          <w:u w:val="single"/>
        </w:rPr>
      </w:pPr>
      <w:r w:rsidRPr="0040307B">
        <w:rPr>
          <w:rStyle w:val="s1"/>
          <w:rFonts w:asciiTheme="minorHAnsi" w:hAnsiTheme="minorHAnsi"/>
          <w:sz w:val="21"/>
          <w:szCs w:val="21"/>
        </w:rPr>
        <w:t xml:space="preserve">For further information, please visit </w:t>
      </w:r>
      <w:hyperlink r:id="rId9" w:history="1">
        <w:r w:rsidRPr="0040307B">
          <w:rPr>
            <w:rStyle w:val="Hyperlink"/>
            <w:rFonts w:asciiTheme="minorHAnsi" w:hAnsiTheme="minorHAnsi"/>
            <w:color w:val="auto"/>
            <w:sz w:val="21"/>
            <w:szCs w:val="21"/>
          </w:rPr>
          <w:t>www.anglingdirect.co.uk</w:t>
        </w:r>
      </w:hyperlink>
    </w:p>
    <w:p w14:paraId="0EF487DF" w14:textId="77777777" w:rsidR="00A7484C" w:rsidRPr="0040307B" w:rsidRDefault="00A7484C" w:rsidP="00CC4BA6">
      <w:pPr>
        <w:pStyle w:val="al"/>
        <w:jc w:val="both"/>
        <w:rPr>
          <w:rFonts w:asciiTheme="minorHAnsi" w:hAnsiTheme="minorHAnsi"/>
          <w:sz w:val="21"/>
          <w:szCs w:val="21"/>
        </w:rPr>
      </w:pPr>
    </w:p>
    <w:p w14:paraId="6ADDD1EB" w14:textId="769758CE" w:rsidR="00A7484C" w:rsidRPr="00E13729" w:rsidRDefault="00A7484C" w:rsidP="0040307B">
      <w:pPr>
        <w:pStyle w:val="al"/>
        <w:jc w:val="both"/>
      </w:pPr>
    </w:p>
    <w:p w14:paraId="6D959C25" w14:textId="77777777" w:rsidR="00EA08A4" w:rsidRPr="00E13729" w:rsidRDefault="00EA08A4" w:rsidP="00CC4BA6">
      <w:pPr>
        <w:jc w:val="both"/>
        <w:rPr>
          <w:rFonts w:asciiTheme="minorHAnsi" w:hAnsiTheme="minorHAnsi"/>
          <w:sz w:val="21"/>
          <w:szCs w:val="21"/>
        </w:rPr>
      </w:pPr>
    </w:p>
    <w:sectPr w:rsidR="00EA08A4" w:rsidRPr="00E137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Goodwin">
    <w15:presenceInfo w15:providerId="Windows Live" w15:userId="a5fe1029-1f9b-4900-bb9b-e2dd215ecd21"/>
  </w15:person>
  <w15:person w15:author="Charles Goodwin [2]">
    <w15:presenceInfo w15:providerId="None" w15:userId="Charles Good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620CB9"/>
    <w:rsid w:val="000144A2"/>
    <w:rsid w:val="000B5BB4"/>
    <w:rsid w:val="00107D5F"/>
    <w:rsid w:val="001365F3"/>
    <w:rsid w:val="00142E44"/>
    <w:rsid w:val="001675ED"/>
    <w:rsid w:val="001B0F4F"/>
    <w:rsid w:val="001D21F0"/>
    <w:rsid w:val="00237F89"/>
    <w:rsid w:val="00270F7A"/>
    <w:rsid w:val="00285536"/>
    <w:rsid w:val="002B15DB"/>
    <w:rsid w:val="002F10E8"/>
    <w:rsid w:val="00340E29"/>
    <w:rsid w:val="003D1D4E"/>
    <w:rsid w:val="0040307B"/>
    <w:rsid w:val="00403C8C"/>
    <w:rsid w:val="004D5BFB"/>
    <w:rsid w:val="00512032"/>
    <w:rsid w:val="0052088D"/>
    <w:rsid w:val="005468D7"/>
    <w:rsid w:val="006208CB"/>
    <w:rsid w:val="00620CB9"/>
    <w:rsid w:val="00632C26"/>
    <w:rsid w:val="00670DE6"/>
    <w:rsid w:val="00680347"/>
    <w:rsid w:val="006B660F"/>
    <w:rsid w:val="006D3D91"/>
    <w:rsid w:val="006D6C63"/>
    <w:rsid w:val="007054B8"/>
    <w:rsid w:val="0075777D"/>
    <w:rsid w:val="0075791D"/>
    <w:rsid w:val="0078021D"/>
    <w:rsid w:val="007C2052"/>
    <w:rsid w:val="007C24C9"/>
    <w:rsid w:val="008A4FBE"/>
    <w:rsid w:val="008F07A5"/>
    <w:rsid w:val="009127A5"/>
    <w:rsid w:val="00940BA7"/>
    <w:rsid w:val="009508AA"/>
    <w:rsid w:val="00954763"/>
    <w:rsid w:val="009E7994"/>
    <w:rsid w:val="00A15D4B"/>
    <w:rsid w:val="00A7484C"/>
    <w:rsid w:val="00AD3E58"/>
    <w:rsid w:val="00B471AA"/>
    <w:rsid w:val="00BA26AF"/>
    <w:rsid w:val="00BD22A6"/>
    <w:rsid w:val="00BE19F6"/>
    <w:rsid w:val="00BF1F42"/>
    <w:rsid w:val="00C12E8E"/>
    <w:rsid w:val="00C14A12"/>
    <w:rsid w:val="00C15BC8"/>
    <w:rsid w:val="00C8500D"/>
    <w:rsid w:val="00CC4BA6"/>
    <w:rsid w:val="00CD0B6E"/>
    <w:rsid w:val="00CE47BE"/>
    <w:rsid w:val="00CF10D7"/>
    <w:rsid w:val="00D322C0"/>
    <w:rsid w:val="00D973B1"/>
    <w:rsid w:val="00DA57CC"/>
    <w:rsid w:val="00DA5DD8"/>
    <w:rsid w:val="00DD1085"/>
    <w:rsid w:val="00E13729"/>
    <w:rsid w:val="00E329FD"/>
    <w:rsid w:val="00E95555"/>
    <w:rsid w:val="00EA08A4"/>
    <w:rsid w:val="00EA5DA0"/>
    <w:rsid w:val="00EC4BEC"/>
    <w:rsid w:val="00F44DE4"/>
    <w:rsid w:val="00F52FCC"/>
    <w:rsid w:val="00F6096D"/>
    <w:rsid w:val="00F704B9"/>
    <w:rsid w:val="00F810EA"/>
    <w:rsid w:val="00F83A25"/>
    <w:rsid w:val="00FE5C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E8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620CB9"/>
    <w:pPr>
      <w:spacing w:before="100" w:beforeAutospacing="1" w:after="100" w:afterAutospacing="1"/>
    </w:pPr>
  </w:style>
  <w:style w:type="paragraph" w:customStyle="1" w:styleId="aj">
    <w:name w:val="aj"/>
    <w:basedOn w:val="Normal"/>
    <w:rsid w:val="00620CB9"/>
    <w:pPr>
      <w:spacing w:before="100" w:beforeAutospacing="1" w:after="100" w:afterAutospacing="1"/>
    </w:pPr>
  </w:style>
  <w:style w:type="character" w:styleId="Hyperlink">
    <w:name w:val="Hyperlink"/>
    <w:basedOn w:val="DefaultParagraphFont"/>
    <w:uiPriority w:val="99"/>
    <w:rsid w:val="00DA57CC"/>
    <w:rPr>
      <w:color w:val="0563C1" w:themeColor="hyperlink"/>
      <w:u w:val="single"/>
    </w:rPr>
  </w:style>
  <w:style w:type="character" w:customStyle="1" w:styleId="UnresolvedMention1">
    <w:name w:val="Unresolved Mention1"/>
    <w:basedOn w:val="DefaultParagraphFont"/>
    <w:uiPriority w:val="99"/>
    <w:semiHidden/>
    <w:unhideWhenUsed/>
    <w:rsid w:val="00DA57CC"/>
    <w:rPr>
      <w:color w:val="808080"/>
      <w:shd w:val="clear" w:color="auto" w:fill="E6E6E6"/>
    </w:rPr>
  </w:style>
  <w:style w:type="paragraph" w:styleId="BalloonText">
    <w:name w:val="Balloon Text"/>
    <w:basedOn w:val="Normal"/>
    <w:link w:val="BalloonTextChar"/>
    <w:semiHidden/>
    <w:unhideWhenUsed/>
    <w:rsid w:val="00CC4BA6"/>
    <w:rPr>
      <w:rFonts w:ascii="Tahoma" w:hAnsi="Tahoma" w:cs="Tahoma"/>
      <w:sz w:val="16"/>
      <w:szCs w:val="16"/>
    </w:rPr>
  </w:style>
  <w:style w:type="character" w:customStyle="1" w:styleId="BalloonTextChar">
    <w:name w:val="Balloon Text Char"/>
    <w:basedOn w:val="DefaultParagraphFont"/>
    <w:link w:val="BalloonText"/>
    <w:semiHidden/>
    <w:rsid w:val="00CC4BA6"/>
    <w:rPr>
      <w:rFonts w:ascii="Tahoma" w:hAnsi="Tahoma" w:cs="Tahoma"/>
      <w:sz w:val="16"/>
      <w:szCs w:val="16"/>
    </w:rPr>
  </w:style>
  <w:style w:type="paragraph" w:customStyle="1" w:styleId="p1">
    <w:name w:val="p1"/>
    <w:basedOn w:val="Normal"/>
    <w:rsid w:val="00A7484C"/>
    <w:rPr>
      <w:rFonts w:ascii="Tahoma" w:eastAsiaTheme="minorHAnsi" w:hAnsi="Tahoma" w:cs="Tahoma"/>
      <w:sz w:val="20"/>
      <w:szCs w:val="20"/>
    </w:rPr>
  </w:style>
  <w:style w:type="paragraph" w:customStyle="1" w:styleId="p2">
    <w:name w:val="p2"/>
    <w:basedOn w:val="Normal"/>
    <w:rsid w:val="00A7484C"/>
    <w:pPr>
      <w:jc w:val="both"/>
    </w:pPr>
    <w:rPr>
      <w:rFonts w:ascii="Tahoma" w:eastAsiaTheme="minorHAnsi" w:hAnsi="Tahoma" w:cs="Tahoma"/>
      <w:sz w:val="20"/>
      <w:szCs w:val="20"/>
    </w:rPr>
  </w:style>
  <w:style w:type="character" w:customStyle="1" w:styleId="s1">
    <w:name w:val="s1"/>
    <w:basedOn w:val="DefaultParagraphFont"/>
    <w:rsid w:val="00A748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620CB9"/>
    <w:pPr>
      <w:spacing w:before="100" w:beforeAutospacing="1" w:after="100" w:afterAutospacing="1"/>
    </w:pPr>
  </w:style>
  <w:style w:type="paragraph" w:customStyle="1" w:styleId="aj">
    <w:name w:val="aj"/>
    <w:basedOn w:val="Normal"/>
    <w:rsid w:val="00620CB9"/>
    <w:pPr>
      <w:spacing w:before="100" w:beforeAutospacing="1" w:after="100" w:afterAutospacing="1"/>
    </w:pPr>
  </w:style>
  <w:style w:type="character" w:styleId="Hyperlink">
    <w:name w:val="Hyperlink"/>
    <w:basedOn w:val="DefaultParagraphFont"/>
    <w:uiPriority w:val="99"/>
    <w:rsid w:val="00DA57CC"/>
    <w:rPr>
      <w:color w:val="0563C1" w:themeColor="hyperlink"/>
      <w:u w:val="single"/>
    </w:rPr>
  </w:style>
  <w:style w:type="character" w:customStyle="1" w:styleId="UnresolvedMention1">
    <w:name w:val="Unresolved Mention1"/>
    <w:basedOn w:val="DefaultParagraphFont"/>
    <w:uiPriority w:val="99"/>
    <w:semiHidden/>
    <w:unhideWhenUsed/>
    <w:rsid w:val="00DA57CC"/>
    <w:rPr>
      <w:color w:val="808080"/>
      <w:shd w:val="clear" w:color="auto" w:fill="E6E6E6"/>
    </w:rPr>
  </w:style>
  <w:style w:type="paragraph" w:styleId="BalloonText">
    <w:name w:val="Balloon Text"/>
    <w:basedOn w:val="Normal"/>
    <w:link w:val="BalloonTextChar"/>
    <w:semiHidden/>
    <w:unhideWhenUsed/>
    <w:rsid w:val="00CC4BA6"/>
    <w:rPr>
      <w:rFonts w:ascii="Tahoma" w:hAnsi="Tahoma" w:cs="Tahoma"/>
      <w:sz w:val="16"/>
      <w:szCs w:val="16"/>
    </w:rPr>
  </w:style>
  <w:style w:type="character" w:customStyle="1" w:styleId="BalloonTextChar">
    <w:name w:val="Balloon Text Char"/>
    <w:basedOn w:val="DefaultParagraphFont"/>
    <w:link w:val="BalloonText"/>
    <w:semiHidden/>
    <w:rsid w:val="00CC4BA6"/>
    <w:rPr>
      <w:rFonts w:ascii="Tahoma" w:hAnsi="Tahoma" w:cs="Tahoma"/>
      <w:sz w:val="16"/>
      <w:szCs w:val="16"/>
    </w:rPr>
  </w:style>
  <w:style w:type="paragraph" w:customStyle="1" w:styleId="p1">
    <w:name w:val="p1"/>
    <w:basedOn w:val="Normal"/>
    <w:rsid w:val="00A7484C"/>
    <w:rPr>
      <w:rFonts w:ascii="Tahoma" w:eastAsiaTheme="minorHAnsi" w:hAnsi="Tahoma" w:cs="Tahoma"/>
      <w:sz w:val="20"/>
      <w:szCs w:val="20"/>
    </w:rPr>
  </w:style>
  <w:style w:type="paragraph" w:customStyle="1" w:styleId="p2">
    <w:name w:val="p2"/>
    <w:basedOn w:val="Normal"/>
    <w:rsid w:val="00A7484C"/>
    <w:pPr>
      <w:jc w:val="both"/>
    </w:pPr>
    <w:rPr>
      <w:rFonts w:ascii="Tahoma" w:eastAsiaTheme="minorHAnsi" w:hAnsi="Tahoma" w:cs="Tahoma"/>
      <w:sz w:val="20"/>
      <w:szCs w:val="20"/>
    </w:rPr>
  </w:style>
  <w:style w:type="character" w:customStyle="1" w:styleId="s1">
    <w:name w:val="s1"/>
    <w:basedOn w:val="DefaultParagraphFont"/>
    <w:rsid w:val="00A7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nglingdirect.co.uk" TargetMode="External"/><Relationship Id="rId7" Type="http://schemas.openxmlformats.org/officeDocument/2006/relationships/hyperlink" Target="http://www.anglingdirect.co.uk" TargetMode="External"/><Relationship Id="rId8" Type="http://schemas.openxmlformats.org/officeDocument/2006/relationships/hyperlink" Target="http://www.anglingdirect.co.uk" TargetMode="External"/><Relationship Id="rId9" Type="http://schemas.openxmlformats.org/officeDocument/2006/relationships/hyperlink" Target="http://www.anglingdirect.co.uk"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DF79-08C0-5C44-A226-FEB58E1C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667</Words>
  <Characters>3804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Bailey</dc:creator>
  <cp:lastModifiedBy>Harriet Jackson</cp:lastModifiedBy>
  <cp:revision>4</cp:revision>
  <cp:lastPrinted>2018-02-14T12:37:00Z</cp:lastPrinted>
  <dcterms:created xsi:type="dcterms:W3CDTF">2018-02-15T13:59:00Z</dcterms:created>
  <dcterms:modified xsi:type="dcterms:W3CDTF">2018-02-15T14:05:00Z</dcterms:modified>
</cp:coreProperties>
</file>